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F12605" w:rsidRPr="00427773" w:rsidRDefault="00F12605" w:rsidP="00F12605">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F12605" w:rsidRPr="00427773" w:rsidRDefault="00F12605" w:rsidP="00F12605">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005</w:t>
      </w:r>
      <w:r w:rsidRPr="00427773">
        <w:rPr>
          <w:rFonts w:ascii="Arial" w:hAnsi="Arial" w:cs="Arial"/>
          <w:b/>
        </w:rPr>
        <w:t>/</w:t>
      </w:r>
      <w:r>
        <w:rPr>
          <w:rFonts w:ascii="Arial" w:hAnsi="Arial" w:cs="Arial"/>
          <w:b/>
        </w:rPr>
        <w:t>2020</w:t>
      </w:r>
    </w:p>
    <w:p w:rsidR="00F12605" w:rsidRPr="00427773" w:rsidRDefault="00F12605" w:rsidP="00F12605">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000103</w:t>
      </w:r>
      <w:r w:rsidRPr="00427773">
        <w:rPr>
          <w:rFonts w:ascii="Arial" w:hAnsi="Arial" w:cs="Arial"/>
          <w:b/>
        </w:rPr>
        <w:t>/</w:t>
      </w:r>
      <w:r>
        <w:rPr>
          <w:rFonts w:ascii="Arial" w:hAnsi="Arial" w:cs="Arial"/>
          <w:b/>
        </w:rPr>
        <w:t>2020</w:t>
      </w:r>
    </w:p>
    <w:p w:rsidR="00E56784" w:rsidRPr="00427773" w:rsidRDefault="00F12605" w:rsidP="00F12605">
      <w:pPr>
        <w:rPr>
          <w:rFonts w:ascii="Arial" w:hAnsi="Arial" w:cs="Arial"/>
          <w:b/>
        </w:rPr>
      </w:pPr>
      <w:r w:rsidRPr="00427773">
        <w:rPr>
          <w:rFonts w:ascii="Arial" w:hAnsi="Arial" w:cs="Arial"/>
          <w:b/>
        </w:rPr>
        <w:t>Data da Abertura</w:t>
      </w:r>
      <w:r w:rsidRPr="00427773">
        <w:rPr>
          <w:rFonts w:ascii="Arial" w:hAnsi="Arial" w:cs="Arial"/>
          <w:b/>
        </w:rPr>
        <w:tab/>
        <w:t xml:space="preserve">: </w:t>
      </w:r>
      <w:r w:rsidR="00D56018">
        <w:rPr>
          <w:rFonts w:ascii="Arial" w:hAnsi="Arial" w:cs="Arial"/>
          <w:b/>
        </w:rPr>
        <w:t>08</w:t>
      </w:r>
      <w:r>
        <w:rPr>
          <w:rFonts w:ascii="Arial" w:hAnsi="Arial" w:cs="Arial"/>
          <w:b/>
        </w:rPr>
        <w:t>/09/2020</w:t>
      </w:r>
      <w:r w:rsidRPr="00427773">
        <w:rPr>
          <w:rFonts w:ascii="Arial" w:hAnsi="Arial" w:cs="Arial"/>
          <w:b/>
        </w:rPr>
        <w:t xml:space="preserve"> – </w:t>
      </w:r>
      <w:r w:rsidR="00D56018">
        <w:rPr>
          <w:rFonts w:ascii="Arial" w:hAnsi="Arial" w:cs="Arial"/>
          <w:b/>
        </w:rPr>
        <w:t>15</w:t>
      </w:r>
      <w:r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2A211B">
        <w:rPr>
          <w:rFonts w:ascii="Arial" w:hAnsi="Arial" w:cs="Arial"/>
          <w:lang w:eastAsia="en-US"/>
        </w:rPr>
        <w:t>nomeada pela portaria 000010/2020, do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publica</w:t>
      </w:r>
      <w:r w:rsidR="002A211B">
        <w:rPr>
          <w:rFonts w:ascii="Arial" w:hAnsi="Arial" w:cs="Arial"/>
          <w:lang w:eastAsia="en-US"/>
        </w:rPr>
        <w:t>da no quadro de avisos no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F12605">
        <w:rPr>
          <w:rFonts w:ascii="Arial" w:hAnsi="Arial" w:cs="Arial"/>
          <w:b/>
          <w:lang w:eastAsia="en-US"/>
        </w:rPr>
        <w:t>04/09</w:t>
      </w:r>
      <w:r w:rsidR="002A211B">
        <w:rPr>
          <w:rFonts w:ascii="Arial" w:hAnsi="Arial" w:cs="Arial"/>
          <w:b/>
          <w:lang w:eastAsia="en-US"/>
        </w:rPr>
        <w:t>/2020</w:t>
      </w:r>
      <w:r w:rsidRPr="00427773">
        <w:rPr>
          <w:rFonts w:ascii="Arial" w:hAnsi="Arial" w:cs="Arial"/>
          <w:b/>
          <w:bCs/>
          <w:lang w:eastAsia="en-US"/>
        </w:rPr>
        <w:t xml:space="preserve"> às </w:t>
      </w:r>
      <w:r w:rsidR="00D56018">
        <w:rPr>
          <w:rFonts w:ascii="Arial" w:hAnsi="Arial" w:cs="Arial"/>
          <w:b/>
          <w:bCs/>
          <w:lang w:eastAsia="en-US"/>
        </w:rPr>
        <w:t>15</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Pr="00427773">
        <w:rPr>
          <w:rFonts w:ascii="Arial" w:hAnsi="Arial" w:cs="Arial"/>
          <w:lang w:eastAsia="en-US"/>
        </w:rPr>
        <w:t>, no Setor de Licitação da Prefeitura Municipal de Janaúba, situado na Praça Dr. Rockert n°92 Centro - Janaúba/MG estará procedendo a análise dos documentos referente ao CREDENCIAMENTO para fins de</w:t>
      </w:r>
      <w:r w:rsidR="00D355FC">
        <w:rPr>
          <w:rFonts w:ascii="Arial" w:hAnsi="Arial" w:cs="Arial"/>
          <w:lang w:eastAsia="en-US"/>
        </w:rPr>
        <w:t xml:space="preserve"> </w:t>
      </w:r>
      <w:r w:rsidR="00730080" w:rsidRPr="00620982">
        <w:rPr>
          <w:rFonts w:ascii="Arial" w:hAnsi="Arial" w:cs="Arial"/>
        </w:rPr>
        <w:t>contratação de empresas prestadoras de serviços de exames laboratoriais de análises clínicas, e exames de imagem, procedimentos necessários para diagnóstico da covid-19 e monitoramento do quadro clínico de pacientes acometidos por essa enfermidade no município de Janaúba/MG</w:t>
      </w:r>
      <w:r w:rsidR="00D355FC">
        <w:rPr>
          <w:rFonts w:ascii="Arial" w:hAnsi="Arial" w:cs="Arial"/>
        </w:rPr>
        <w:t>, conforme especificações constantes no anexo I</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730080"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Pr>
          <w:rFonts w:ascii="Arial" w:hAnsi="Arial" w:cs="Arial"/>
        </w:rPr>
        <w:t>C</w:t>
      </w:r>
      <w:r w:rsidRPr="00620982">
        <w:rPr>
          <w:rFonts w:ascii="Arial" w:hAnsi="Arial" w:cs="Arial"/>
        </w:rPr>
        <w:t>ontratação de empresas prestadoras de serviços de exames laboratoriais de análises clínicas, e exames de imagem, procedimentos necessários para diagnóstico da covid-19 e monitoramento do quadro clínico de pacientes acometidos por essa enfermidade no município de Janaúba/MG</w:t>
      </w:r>
      <w:r w:rsidR="00D355FC">
        <w:rPr>
          <w:rFonts w:ascii="Arial" w:hAnsi="Arial" w:cs="Arial"/>
        </w:rPr>
        <w:t>, conforme especificações constantes no anexo I</w:t>
      </w:r>
      <w:r w:rsidR="006D3E63" w:rsidRPr="00427773">
        <w:rPr>
          <w:rFonts w:ascii="Arial" w:hAnsi="Arial" w:cs="Arial"/>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 xml:space="preserve">As empresas e/ou representantes que interessarem em participar deste processo e que consultarem o instrumento convocatório via internet ou no quadro de avisos da Prefeitura, obrigam-se a acompanhar as publicações referentes a este processo no site </w:t>
      </w:r>
      <w:r w:rsidRPr="00427773">
        <w:rPr>
          <w:rFonts w:ascii="Arial" w:hAnsi="Arial" w:cs="Arial"/>
          <w:sz w:val="20"/>
          <w:szCs w:val="20"/>
          <w:lang w:eastAsia="en-US"/>
        </w:rPr>
        <w:lastRenderedPageBreak/>
        <w:t>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(is)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lastRenderedPageBreak/>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arts.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cms/sus/jab-mg </w:t>
      </w:r>
      <w:r w:rsidR="009A1BB0" w:rsidRPr="00427773">
        <w:rPr>
          <w:rFonts w:ascii="Arial" w:hAnsi="Arial" w:cs="Arial"/>
          <w:lang w:eastAsia="en-US"/>
        </w:rPr>
        <w:t xml:space="preserve">02/2015 de 30 de junho de 2.015 e </w:t>
      </w:r>
      <w:r w:rsidRPr="00427773">
        <w:rPr>
          <w:rFonts w:ascii="Arial" w:hAnsi="Arial" w:cs="Arial"/>
          <w:lang w:eastAsia="en-US"/>
        </w:rPr>
        <w:t xml:space="preserve"> decreto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Os documentos deverão ser entregues em env</w:t>
      </w:r>
      <w:r w:rsidR="00730080">
        <w:rPr>
          <w:rFonts w:ascii="Arial" w:hAnsi="Arial" w:cs="Arial"/>
          <w:lang w:eastAsia="en-US"/>
        </w:rPr>
        <w:t>elope fechado e identificado, a partir da</w:t>
      </w:r>
      <w:r w:rsidRPr="00427773">
        <w:rPr>
          <w:rFonts w:ascii="Arial" w:hAnsi="Arial" w:cs="Arial"/>
          <w:lang w:eastAsia="en-US"/>
        </w:rPr>
        <w:t xml:space="preserve"> data de </w:t>
      </w:r>
      <w:r w:rsidR="00F12605">
        <w:rPr>
          <w:rFonts w:ascii="Arial" w:hAnsi="Arial" w:cs="Arial"/>
          <w:b/>
          <w:lang w:eastAsia="en-US"/>
        </w:rPr>
        <w:t>04/09</w:t>
      </w:r>
      <w:r w:rsidR="00D355FC">
        <w:rPr>
          <w:rFonts w:ascii="Arial" w:hAnsi="Arial" w:cs="Arial"/>
          <w:b/>
          <w:lang w:eastAsia="en-US"/>
        </w:rPr>
        <w:t>/2020</w:t>
      </w:r>
      <w:r w:rsidR="009D467A" w:rsidRPr="00427773">
        <w:rPr>
          <w:rFonts w:ascii="Arial" w:hAnsi="Arial" w:cs="Arial"/>
          <w:lang w:eastAsia="en-US"/>
        </w:rPr>
        <w:t xml:space="preserve"> </w:t>
      </w:r>
      <w:r w:rsidRPr="00427773">
        <w:rPr>
          <w:rFonts w:ascii="Arial" w:hAnsi="Arial" w:cs="Arial"/>
          <w:lang w:eastAsia="en-US"/>
        </w:rPr>
        <w:t xml:space="preserve">ás </w:t>
      </w:r>
      <w:r w:rsidR="00D56018">
        <w:rPr>
          <w:rFonts w:ascii="Arial" w:hAnsi="Arial" w:cs="Arial"/>
          <w:b/>
          <w:bCs/>
          <w:lang w:eastAsia="en-US"/>
        </w:rPr>
        <w:t>15</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Pr="00427773">
        <w:rPr>
          <w:rFonts w:ascii="Arial" w:hAnsi="Arial" w:cs="Arial"/>
          <w:lang w:eastAsia="en-US"/>
        </w:rPr>
        <w:t>, no Setor de Licitação da Prefeitura Municipal de Janaúba, situado na Praça Dr. Rockert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À COMISSÃO PERMANENTE DE LICITAÇÃO</w:t>
      </w:r>
    </w:p>
    <w:p w:rsidR="00F141AE"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 xml:space="preserve">PREFEITURA MUNICIPAL DE JANAÚBA </w:t>
      </w:r>
      <w:r w:rsidR="00D355FC">
        <w:rPr>
          <w:rFonts w:ascii="Arial" w:hAnsi="Arial" w:cs="Arial"/>
          <w:b/>
          <w:bCs/>
          <w:lang w:eastAsia="en-US"/>
        </w:rPr>
        <w:t>–</w:t>
      </w:r>
      <w:r w:rsidRPr="00427773">
        <w:rPr>
          <w:rFonts w:ascii="Arial" w:hAnsi="Arial" w:cs="Arial"/>
          <w:b/>
          <w:bCs/>
          <w:lang w:eastAsia="en-US"/>
        </w:rPr>
        <w:t xml:space="preserve"> MG</w:t>
      </w:r>
    </w:p>
    <w:p w:rsidR="00730080" w:rsidRPr="00427773" w:rsidRDefault="00730080" w:rsidP="00730080">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730080" w:rsidRPr="00427773" w:rsidRDefault="00730080" w:rsidP="00730080">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005</w:t>
      </w:r>
      <w:r w:rsidRPr="00427773">
        <w:rPr>
          <w:rFonts w:ascii="Arial" w:hAnsi="Arial" w:cs="Arial"/>
          <w:b/>
        </w:rPr>
        <w:t>/</w:t>
      </w:r>
      <w:r>
        <w:rPr>
          <w:rFonts w:ascii="Arial" w:hAnsi="Arial" w:cs="Arial"/>
          <w:b/>
        </w:rPr>
        <w:t>2020</w:t>
      </w:r>
    </w:p>
    <w:p w:rsidR="00730080" w:rsidRPr="00427773" w:rsidRDefault="00730080" w:rsidP="00730080">
      <w:pPr>
        <w:pBdr>
          <w:top w:val="single" w:sz="4" w:space="1" w:color="auto"/>
          <w:left w:val="single" w:sz="4" w:space="4" w:color="auto"/>
          <w:bottom w:val="single" w:sz="4" w:space="1" w:color="auto"/>
          <w:right w:val="single" w:sz="4" w:space="4" w:color="auto"/>
        </w:pBd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000103</w:t>
      </w:r>
      <w:r w:rsidRPr="00427773">
        <w:rPr>
          <w:rFonts w:ascii="Arial" w:hAnsi="Arial" w:cs="Arial"/>
          <w:b/>
        </w:rPr>
        <w:t>/</w:t>
      </w:r>
      <w:r>
        <w:rPr>
          <w:rFonts w:ascii="Arial" w:hAnsi="Arial" w:cs="Arial"/>
          <w:b/>
        </w:rPr>
        <w:t>2020</w:t>
      </w:r>
    </w:p>
    <w:p w:rsidR="00730080" w:rsidRDefault="00730080"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rPr>
        <w:t>Data da Abertura</w:t>
      </w:r>
      <w:r w:rsidRPr="00427773">
        <w:rPr>
          <w:rFonts w:ascii="Arial" w:hAnsi="Arial" w:cs="Arial"/>
          <w:b/>
        </w:rPr>
        <w:tab/>
        <w:t xml:space="preserve">: </w:t>
      </w:r>
      <w:r w:rsidR="00D56018">
        <w:rPr>
          <w:rFonts w:ascii="Arial" w:hAnsi="Arial" w:cs="Arial"/>
          <w:b/>
        </w:rPr>
        <w:t>08</w:t>
      </w:r>
      <w:r w:rsidR="00F12605">
        <w:rPr>
          <w:rFonts w:ascii="Arial" w:hAnsi="Arial" w:cs="Arial"/>
          <w:b/>
        </w:rPr>
        <w:t>/09</w:t>
      </w:r>
      <w:r>
        <w:rPr>
          <w:rFonts w:ascii="Arial" w:hAnsi="Arial" w:cs="Arial"/>
          <w:b/>
        </w:rPr>
        <w:t>/2020</w:t>
      </w:r>
      <w:r w:rsidRPr="00427773">
        <w:rPr>
          <w:rFonts w:ascii="Arial" w:hAnsi="Arial" w:cs="Arial"/>
          <w:b/>
        </w:rPr>
        <w:t xml:space="preserve"> – </w:t>
      </w:r>
      <w:r w:rsidR="00D56018">
        <w:rPr>
          <w:rFonts w:ascii="Arial" w:hAnsi="Arial" w:cs="Arial"/>
          <w:b/>
        </w:rPr>
        <w:t>13</w:t>
      </w:r>
      <w:r w:rsidRPr="00427773">
        <w:rPr>
          <w:rFonts w:ascii="Arial" w:hAnsi="Arial" w:cs="Arial"/>
          <w:b/>
        </w:rPr>
        <w:t>:00:00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w:t>
      </w:r>
      <w:r w:rsidR="00730080">
        <w:rPr>
          <w:rFonts w:ascii="Arial" w:hAnsi="Arial" w:cs="Arial"/>
          <w:b/>
          <w:bCs/>
          <w:sz w:val="20"/>
          <w:szCs w:val="20"/>
          <w:lang w:eastAsia="en-US"/>
        </w:rPr>
        <w:t>3.4, alínea “b” e os micro</w:t>
      </w:r>
      <w:r w:rsidRPr="00427773">
        <w:rPr>
          <w:rFonts w:ascii="Arial" w:hAnsi="Arial" w:cs="Arial"/>
          <w:b/>
          <w:bCs/>
          <w:sz w:val="20"/>
          <w:szCs w:val="20"/>
          <w:lang w:eastAsia="en-US"/>
        </w:rPr>
        <w:t>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Nos termos dos arts.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xml:space="preserve">, cujo termo inicial corresponderá ao momento em que a licitante for </w:t>
      </w:r>
      <w:r w:rsidRPr="00427773">
        <w:rPr>
          <w:rFonts w:ascii="Arial" w:hAnsi="Arial" w:cs="Arial"/>
          <w:lang w:eastAsia="en-US"/>
        </w:rPr>
        <w:lastRenderedPageBreak/>
        <w:t>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Após a homologação do processo licitatório, o(s) credenciado(s), através do(s) representante(s) legal (is),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Rockert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w:t>
      </w:r>
      <w:r w:rsidRPr="00427773">
        <w:rPr>
          <w:rFonts w:ascii="Arial" w:hAnsi="Arial" w:cs="Arial"/>
          <w:lang w:eastAsia="en-US"/>
        </w:rPr>
        <w:lastRenderedPageBreak/>
        <w:t>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A92BF7" w:rsidRDefault="00A92BF7" w:rsidP="00A92BF7">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Prç. Dr. Rockert, 92, Centro, Janaúba/MG, data de realização de sorteio onde será definida ordem de classificação das prestadoras que terão preferencia nos serviços. </w:t>
      </w:r>
    </w:p>
    <w:p w:rsidR="00A92BF7" w:rsidRPr="00AB4631" w:rsidRDefault="00A92BF7" w:rsidP="00A92BF7">
      <w:pPr>
        <w:autoSpaceDE w:val="0"/>
        <w:autoSpaceDN w:val="0"/>
        <w:adjustRightInd w:val="0"/>
        <w:spacing w:line="360" w:lineRule="auto"/>
        <w:jc w:val="both"/>
        <w:rPr>
          <w:rFonts w:ascii="Arial" w:hAnsi="Arial" w:cs="Arial"/>
          <w:bCs/>
          <w:lang w:eastAsia="en-US"/>
        </w:rPr>
      </w:pPr>
      <w:r>
        <w:rPr>
          <w:rFonts w:ascii="Arial" w:hAnsi="Arial" w:cs="Arial"/>
          <w:bCs/>
          <w:lang w:eastAsia="en-US"/>
        </w:rPr>
        <w:lastRenderedPageBreak/>
        <w:t>10.2 Caso se credenciem empresas posteriormente ao sorteio, haverá apenas a redistribuição das cotas, sendo que as mesmas serão posicionas como as últimas da sequência original.</w:t>
      </w:r>
    </w:p>
    <w:p w:rsidR="00A92BF7"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D355FC" w:rsidRPr="00E15512" w:rsidRDefault="00D355FC" w:rsidP="00D355FC">
      <w:pPr>
        <w:spacing w:line="276" w:lineRule="auto"/>
        <w:jc w:val="both"/>
        <w:rPr>
          <w:rFonts w:ascii="Arial" w:hAnsi="Arial" w:cs="Arial"/>
          <w:b/>
        </w:rPr>
      </w:pPr>
      <w:r w:rsidRPr="00E15512">
        <w:rPr>
          <w:rFonts w:ascii="Arial" w:hAnsi="Arial" w:cs="Arial"/>
          <w:b/>
        </w:rPr>
        <w:t>09.01.01.10.302.0024.2098.33903900 Ficha 1146 Fonte 155.</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sidR="00E56CB3">
        <w:rPr>
          <w:rFonts w:ascii="Arial" w:hAnsi="Arial" w:cs="Arial"/>
          <w:lang w:eastAsia="en-US"/>
        </w:rPr>
        <w:t>que não forem realizadas em 2020</w:t>
      </w:r>
      <w:r w:rsidRPr="00AB4631">
        <w:rPr>
          <w:rFonts w:ascii="Arial" w:hAnsi="Arial" w:cs="Arial"/>
          <w:lang w:eastAsia="en-US"/>
        </w:rPr>
        <w:t xml:space="preserve"> correrão à conta de dotações orçamentárias próprias de exercícios futuros.</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e protocolados no Setor de Licitação, no Prédio da Prefeitura Municipal de Janaúba, situado Praça Dr. Rockert, nº. 92 Centro, Janaúba/MG, dirigidos à Comissão Permanente de Licitação.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Os recursos e impugnações do edital deverão ser entregues no Setor de Licitação do Município de Janaúba, situado a Praça Dr. Rockert, nº 92 Centro, Janaúba/MG, aos cuidados da Comissão Permanente de Licitação, no horário de 12:00 às 17:30 horas, onde será emitido comprovante de recebimento.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8"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730080">
        <w:rPr>
          <w:rFonts w:ascii="Arial" w:hAnsi="Arial" w:cs="Arial"/>
          <w:bCs/>
          <w:lang w:eastAsia="en-US"/>
        </w:rPr>
        <w:t xml:space="preserve">28 </w:t>
      </w:r>
      <w:r w:rsidR="00CC3C44" w:rsidRPr="00427773">
        <w:rPr>
          <w:rFonts w:ascii="Arial" w:hAnsi="Arial" w:cs="Arial"/>
          <w:bCs/>
          <w:lang w:eastAsia="en-US"/>
        </w:rPr>
        <w:t xml:space="preserve">de </w:t>
      </w:r>
      <w:r w:rsidR="00730080">
        <w:rPr>
          <w:rFonts w:ascii="Arial" w:hAnsi="Arial" w:cs="Arial"/>
          <w:bCs/>
          <w:lang w:eastAsia="en-US"/>
        </w:rPr>
        <w:t>Jul</w:t>
      </w:r>
      <w:r w:rsidR="00D355FC">
        <w:rPr>
          <w:rFonts w:ascii="Arial" w:hAnsi="Arial" w:cs="Arial"/>
          <w:bCs/>
          <w:lang w:eastAsia="en-US"/>
        </w:rPr>
        <w:t>ho</w:t>
      </w:r>
      <w:r w:rsidR="002A211B">
        <w:rPr>
          <w:rFonts w:ascii="Arial" w:hAnsi="Arial" w:cs="Arial"/>
          <w:bCs/>
          <w:lang w:eastAsia="en-US"/>
        </w:rPr>
        <w:t xml:space="preserve"> de 2020</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Marco Antonio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p>
    <w:p w:rsidR="00AA1B8A" w:rsidRPr="00427773" w:rsidRDefault="00D355FC"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Pr>
          <w:rFonts w:ascii="Arial" w:hAnsi="Arial" w:cs="Arial"/>
          <w:b/>
        </w:rPr>
        <w:lastRenderedPageBreak/>
        <w:t xml:space="preserve">ANEXO I - </w:t>
      </w:r>
      <w:r w:rsidR="00AA1B8A" w:rsidRPr="00427773">
        <w:rPr>
          <w:rFonts w:ascii="Arial" w:hAnsi="Arial" w:cs="Arial"/>
          <w:b/>
        </w:rPr>
        <w:t>TERMO DE REFERÊNCIA</w:t>
      </w:r>
    </w:p>
    <w:p w:rsidR="00AA1B8A" w:rsidRPr="00427773" w:rsidRDefault="00AA1B8A" w:rsidP="00AA1B8A">
      <w:pPr>
        <w:spacing w:line="360" w:lineRule="auto"/>
        <w:ind w:firstLine="360"/>
        <w:jc w:val="center"/>
        <w:rPr>
          <w:rFonts w:ascii="Arial" w:hAnsi="Arial" w:cs="Arial"/>
          <w:b/>
        </w:rPr>
      </w:pPr>
    </w:p>
    <w:p w:rsidR="00730080" w:rsidRPr="00620982" w:rsidRDefault="00730080" w:rsidP="00730080">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620982">
        <w:rPr>
          <w:rFonts w:ascii="Arial" w:hAnsi="Arial" w:cs="Arial"/>
          <w:b/>
        </w:rPr>
        <w:t>1. OBJETO</w:t>
      </w:r>
    </w:p>
    <w:p w:rsidR="00730080" w:rsidRPr="00620982" w:rsidRDefault="00730080" w:rsidP="00730080">
      <w:pPr>
        <w:suppressAutoHyphens/>
        <w:spacing w:line="276" w:lineRule="auto"/>
        <w:ind w:firstLine="708"/>
        <w:jc w:val="both"/>
        <w:rPr>
          <w:rFonts w:ascii="Arial" w:hAnsi="Arial" w:cs="Arial"/>
        </w:rPr>
      </w:pPr>
      <w:r w:rsidRPr="00620982">
        <w:rPr>
          <w:rFonts w:ascii="Arial" w:hAnsi="Arial" w:cs="Arial"/>
        </w:rPr>
        <w:t xml:space="preserve">Processo Licitatório para contratação de empresas prestadoras de serviços de exames laboratoriais de análises clínicas, e exames de imagem, procedimentos necessários para diagnóstico da covid-19 e monitoramento do quadro clínico de pacientes acometidos por essa enfermidade no município de Janaúba/MG. </w:t>
      </w:r>
    </w:p>
    <w:p w:rsidR="00730080" w:rsidRPr="00620982" w:rsidRDefault="00730080" w:rsidP="00730080">
      <w:pPr>
        <w:pStyle w:val="Recuodecorpodetexto"/>
        <w:ind w:left="0"/>
        <w:jc w:val="both"/>
        <w:rPr>
          <w:sz w:val="20"/>
        </w:rPr>
      </w:pPr>
      <w:r w:rsidRPr="00620982">
        <w:rPr>
          <w:sz w:val="20"/>
        </w:rPr>
        <w:t>As Pessoas Jurídicas a serem contratadas, ficarão incumbidas de realizar exames laboratoriais de Análises Clínicas e exames de imagem para a rede ambulatorial do SUS em benefício dos pacientes com suspeita e/ou diagnóstico de covid-19 no município de Janaúba/MG, conforme quadro descritivo de itens abaixo:</w:t>
      </w:r>
    </w:p>
    <w:p w:rsidR="00730080" w:rsidRPr="00620982" w:rsidRDefault="00730080" w:rsidP="00730080">
      <w:pPr>
        <w:suppressAutoHyphens/>
        <w:spacing w:line="276" w:lineRule="auto"/>
        <w:jc w:val="both"/>
        <w:rPr>
          <w:rFonts w:ascii="Arial" w:hAnsi="Arial" w:cs="Arial"/>
        </w:rPr>
      </w:pP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559"/>
        <w:gridCol w:w="6095"/>
        <w:gridCol w:w="567"/>
        <w:gridCol w:w="709"/>
      </w:tblGrid>
      <w:tr w:rsidR="00730080" w:rsidRPr="00620982" w:rsidTr="00730080">
        <w:trPr>
          <w:trHeight w:val="329"/>
        </w:trPr>
        <w:tc>
          <w:tcPr>
            <w:tcW w:w="501" w:type="dxa"/>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N°</w:t>
            </w:r>
          </w:p>
        </w:tc>
        <w:tc>
          <w:tcPr>
            <w:tcW w:w="1559" w:type="dxa"/>
            <w:shd w:val="clear" w:color="auto" w:fill="auto"/>
            <w:noWrap/>
            <w:vAlign w:val="center"/>
            <w:hideMark/>
          </w:tcPr>
          <w:p w:rsidR="00730080" w:rsidRPr="00620982" w:rsidRDefault="00730080" w:rsidP="00730080">
            <w:pPr>
              <w:pStyle w:val="SemEspaamento"/>
              <w:jc w:val="center"/>
              <w:rPr>
                <w:rFonts w:ascii="Arial" w:hAnsi="Arial" w:cs="Arial"/>
                <w:b/>
              </w:rPr>
            </w:pPr>
            <w:r w:rsidRPr="00620982">
              <w:rPr>
                <w:rFonts w:ascii="Arial" w:hAnsi="Arial" w:cs="Arial"/>
                <w:b/>
                <w:bCs/>
              </w:rPr>
              <w:t>Item</w:t>
            </w:r>
          </w:p>
        </w:tc>
        <w:tc>
          <w:tcPr>
            <w:tcW w:w="6095"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Especificação do objeto</w:t>
            </w:r>
          </w:p>
        </w:tc>
        <w:tc>
          <w:tcPr>
            <w:tcW w:w="567"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Un</w:t>
            </w:r>
          </w:p>
        </w:tc>
        <w:tc>
          <w:tcPr>
            <w:tcW w:w="709" w:type="dxa"/>
            <w:shd w:val="clear" w:color="auto" w:fill="auto"/>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Quant</w:t>
            </w:r>
          </w:p>
        </w:tc>
      </w:tr>
      <w:tr w:rsidR="00730080" w:rsidRPr="00620982" w:rsidTr="00730080">
        <w:trPr>
          <w:trHeight w:val="561"/>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01</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Exames de RT-PCR para COVID-19</w:t>
            </w:r>
          </w:p>
        </w:tc>
        <w:tc>
          <w:tcPr>
            <w:tcW w:w="6095" w:type="dxa"/>
            <w:shd w:val="clear" w:color="auto" w:fill="auto"/>
            <w:vAlign w:val="center"/>
          </w:tcPr>
          <w:p w:rsidR="00730080" w:rsidRPr="00620982" w:rsidRDefault="00730080" w:rsidP="00730080">
            <w:pPr>
              <w:spacing w:before="100" w:beforeAutospacing="1" w:after="100" w:afterAutospacing="1"/>
              <w:jc w:val="both"/>
              <w:rPr>
                <w:rFonts w:ascii="Arial" w:hAnsi="Arial" w:cs="Arial"/>
                <w:color w:val="FF0000"/>
              </w:rPr>
            </w:pPr>
            <w:r w:rsidRPr="00620982">
              <w:rPr>
                <w:rFonts w:ascii="Arial" w:hAnsi="Arial" w:cs="Arial"/>
              </w:rPr>
              <w:t> É considerado o padrão-ouro no diagnóstico da COVID-19, cuja confirmação é obtida através da detecção do RNA do SARS-CoV-2 na amostra analisada, preferencialmente obtida de raspado de nasofaringe. Transforma RNA do vírus em DNA. O DNA é amplificado. Se houver material genético do SARS-CoV-2 na amostra, sondas específicas detectam a sua presença e emitem um sinal, que é captado pelo equipamento e traduzido em resultado positivo. Em caso de resultado positivo, a suspeita de COVID-19 é confirmada.</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500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02</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Teste sorológico IgG/IgM para COVID-19</w:t>
            </w:r>
          </w:p>
        </w:tc>
        <w:tc>
          <w:tcPr>
            <w:tcW w:w="6095"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shd w:val="clear" w:color="auto" w:fill="FFFFFF"/>
              </w:rPr>
              <w:t>O teste de sorologia deve ser realizado pelo menos 10 dias após o aparecimento dos sintomas característicos da COVID-19. A interpretação do resultado deve ser realizada com cautela pelo médico solicitante, levando em consideração os sintomas do paciente, o histórico clínico e os resultados obtidos do exame de RT-PCR (se houver). Os anticorpos da classe IgM podem ser encontrados nas fases iniciais da doença, já a presença dos anticorpos da classe IgG é indicativa de que já decorreu algum tempo desde a infecção e de que a pessoa provavelmente desenvolveu imunidade contra a doença.</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700</w:t>
            </w:r>
          </w:p>
        </w:tc>
      </w:tr>
      <w:tr w:rsidR="00730080" w:rsidRPr="00620982" w:rsidTr="00730080">
        <w:trPr>
          <w:trHeight w:val="887"/>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03</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Hemograma Completo</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Consiste na contagem de: Eritrócitos, leucócitos (Global e Diferencial), plaquetas, dosagem de hemoglobina, hematócrito, determinação dos índices hematimetricos e avaliação de esfregaço sanguíneo. </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04</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Ureia</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Exame de sangue para dosagem de ureia.</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05</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Creatinina</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de creatinina é um </w:t>
            </w:r>
            <w:hyperlink r:id="rId9" w:tgtFrame="_blank" w:history="1">
              <w:r w:rsidRPr="00620982">
                <w:rPr>
                  <w:rFonts w:ascii="Arial" w:hAnsi="Arial" w:cs="Arial"/>
                </w:rPr>
                <w:t>exame de sangue </w:t>
              </w:r>
            </w:hyperlink>
            <w:r w:rsidRPr="00620982">
              <w:rPr>
                <w:rFonts w:ascii="Arial" w:hAnsi="Arial" w:cs="Arial"/>
              </w:rPr>
              <w:t xml:space="preserve">que mede a quantidade de creatinina, uma proteína produzida naturalmente no organismo a partir da degradação da creatina. Sua dosagem é útil na avaliação e no monitoramento da função excretora renal. </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280"/>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06</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Sódio</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sódio é o principal cátion extracelular, além disso é o determinante primordial da osmolaridade celular. Alguns fatores regulam a homeostasia do balanço do sódio, tais como, aldosterona e hormônio antidiurético. A dosagem de sódio é útil na avaliação dos distúrbios hidroeletrolíticos.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07</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Potássio</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A dosagem de potássio é útil na avaliação do equilíbrio hidroeletrolítico e acidobásico. A monitorização do potássio é utilizada no acompanhamento de pacientes em terapia com diuréticos, em nefropatias, na cetoacidose diabética, no manejo da hidratação parenteral e na insuficiência hepática. </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08</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Glutamico-Oxalacetica (TGO)</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transaminase glutamico-oxalacetica é uma enzima encontrada em altas quantidades no músculo cardíaco, esquelético, células hepáticas e, em menor quantidade, no pâncreas e nos rins. A dosagem de transaminase glutamico-oxalacetica é útil, por exemplo, no diagnóstico do infarto do miocárdio, das doenças hepáticas, da pancreatite aguda, da operação cardíaca, da cateterização cardíaca, da distrofia muscular, da mononucleose, da doença renal agudae de convulsões recentes.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706"/>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09</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Glutamico-Piruvica (TGP)</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transaminase glutamico-piruvica é encontrada, principalmente, no fígado. A dosagem de transaminase glutamico-piruvica é útil na avaliação de hepatopatias.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10</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Fosfatase Alcalina</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da fosfatase alcalina serve para identificar a quantidade da enzina fosfatase alcalina no sangue, investigando distúrbios hepáticos ou ósseos.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11</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Gama-Glutamil-Transferase (Gama GT)</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O exame de gama GT mede as quantidades da enzima amaglutamiltransferase (GGT ou gama GT) no sangue e avalia a função hepática. </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2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12</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de Coagulação</w:t>
            </w:r>
          </w:p>
        </w:tc>
        <w:tc>
          <w:tcPr>
            <w:tcW w:w="6095"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de tempo de coagulação avalia a atividade dos fatores que participam do processo intrínseco da coagulação. Resultados normais, no entanto, podem ser obtidos em pacientes com deficiência leve ou moderada de um desses fatores. O resultado mostra o tempo gasto para a homeostasia completa do sangue quando colhido e colocado em condições padrão.</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  1750</w:t>
            </w:r>
          </w:p>
        </w:tc>
      </w:tr>
      <w:tr w:rsidR="00730080" w:rsidRPr="00620982" w:rsidTr="00730080">
        <w:trPr>
          <w:trHeight w:val="422"/>
        </w:trPr>
        <w:tc>
          <w:tcPr>
            <w:tcW w:w="501" w:type="dxa"/>
            <w:vAlign w:val="center"/>
          </w:tcPr>
          <w:p w:rsidR="00730080" w:rsidRPr="00620982" w:rsidRDefault="00730080" w:rsidP="00730080">
            <w:pPr>
              <w:pStyle w:val="SemEspaamento"/>
              <w:rPr>
                <w:rFonts w:ascii="Arial" w:hAnsi="Arial" w:cs="Arial"/>
                <w:b/>
              </w:rPr>
            </w:pPr>
            <w:r w:rsidRPr="00620982">
              <w:rPr>
                <w:rFonts w:ascii="Arial" w:hAnsi="Arial" w:cs="Arial"/>
                <w:b/>
              </w:rPr>
              <w:t>13</w:t>
            </w:r>
          </w:p>
        </w:tc>
        <w:tc>
          <w:tcPr>
            <w:tcW w:w="1559"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color w:val="1969A0"/>
                <w:bdr w:val="none" w:sz="0" w:space="0" w:color="auto" w:frame="1"/>
              </w:rPr>
              <w:t> </w:t>
            </w:r>
            <w:r w:rsidRPr="00620982">
              <w:rPr>
                <w:rFonts w:ascii="Arial" w:hAnsi="Arial" w:cs="Arial"/>
                <w:b/>
              </w:rPr>
              <w:t>Determinação de Tempo de Sangramento -Duke</w:t>
            </w:r>
          </w:p>
        </w:tc>
        <w:tc>
          <w:tcPr>
            <w:tcW w:w="6095"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do tempo de sangramento avalia a interação da plaqueta com a parede do vaso sanguíneo e a formação subsequente do coágulo hemostático de modo independente da cascata da coagulação. Existe uma relação quase linear entre a contagem de plaquetas e o tempo de sangramento. Pode ser realizado pela técnica de duke, a qual é feita através de uma punção no lobo da orelha.</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r>
      <w:tr w:rsidR="00730080" w:rsidRPr="00620982" w:rsidTr="00730080">
        <w:trPr>
          <w:trHeight w:val="422"/>
        </w:trPr>
        <w:tc>
          <w:tcPr>
            <w:tcW w:w="501" w:type="dxa"/>
            <w:vAlign w:val="center"/>
          </w:tcPr>
          <w:p w:rsidR="00730080" w:rsidRPr="00620982" w:rsidRDefault="00730080" w:rsidP="00730080">
            <w:pPr>
              <w:pStyle w:val="SemEspaamento"/>
              <w:rPr>
                <w:rFonts w:ascii="Arial" w:hAnsi="Arial" w:cs="Arial"/>
                <w:b/>
              </w:rPr>
            </w:pPr>
            <w:r w:rsidRPr="00620982">
              <w:rPr>
                <w:rFonts w:ascii="Arial" w:hAnsi="Arial" w:cs="Arial"/>
                <w:b/>
              </w:rPr>
              <w:t>14</w:t>
            </w:r>
          </w:p>
        </w:tc>
        <w:tc>
          <w:tcPr>
            <w:tcW w:w="1559"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b/>
              </w:rPr>
              <w:t>Contagem de Plaquetas</w:t>
            </w:r>
          </w:p>
        </w:tc>
        <w:tc>
          <w:tcPr>
            <w:tcW w:w="6095"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contagem de plaquetas consiste na avaliação quantitativa deste elemento do sangue. É realizada pela contagem eletrônica em aparelho automático ou pela contagem no microscópico em câmaras específicas. Permite realizar o diagnóstico de hiperplaquetenia e plaquetopenia.</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r>
      <w:tr w:rsidR="00730080" w:rsidRPr="00620982" w:rsidTr="00730080">
        <w:trPr>
          <w:trHeight w:val="422"/>
        </w:trPr>
        <w:tc>
          <w:tcPr>
            <w:tcW w:w="501" w:type="dxa"/>
            <w:vAlign w:val="center"/>
          </w:tcPr>
          <w:p w:rsidR="00730080" w:rsidRPr="00620982" w:rsidRDefault="00730080" w:rsidP="00730080">
            <w:pPr>
              <w:pStyle w:val="SemEspaamento"/>
              <w:rPr>
                <w:rFonts w:ascii="Arial" w:hAnsi="Arial" w:cs="Arial"/>
                <w:b/>
              </w:rPr>
            </w:pPr>
            <w:r w:rsidRPr="00620982">
              <w:rPr>
                <w:rFonts w:ascii="Arial" w:hAnsi="Arial" w:cs="Arial"/>
                <w:b/>
              </w:rPr>
              <w:t>15</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de tromboplastina parcial ativada (TTP ativada)</w:t>
            </w:r>
          </w:p>
        </w:tc>
        <w:tc>
          <w:tcPr>
            <w:tcW w:w="6095"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O tempo de tromboplastina parcial corresponde ao tempo gasto para ocorrer a coagulação do plasma recalcificado em presença de cefalina.</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r>
      <w:tr w:rsidR="00730080" w:rsidRPr="00620982" w:rsidTr="00730080">
        <w:trPr>
          <w:trHeight w:val="422"/>
        </w:trPr>
        <w:tc>
          <w:tcPr>
            <w:tcW w:w="501" w:type="dxa"/>
            <w:vAlign w:val="center"/>
          </w:tcPr>
          <w:p w:rsidR="00730080" w:rsidRPr="00620982" w:rsidRDefault="00730080" w:rsidP="00730080">
            <w:pPr>
              <w:pStyle w:val="SemEspaamento"/>
              <w:rPr>
                <w:rFonts w:ascii="Arial" w:hAnsi="Arial" w:cs="Arial"/>
                <w:b/>
              </w:rPr>
            </w:pPr>
            <w:r w:rsidRPr="00620982">
              <w:rPr>
                <w:rFonts w:ascii="Arial" w:hAnsi="Arial" w:cs="Arial"/>
                <w:b/>
              </w:rPr>
              <w:t>16</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e Atividade Da Protrombina (TAP)</w:t>
            </w:r>
          </w:p>
        </w:tc>
        <w:tc>
          <w:tcPr>
            <w:tcW w:w="6095"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O tempo da protrombina está prolongado nas seguintes condições: nas deficiências de fatores vii, v, x, ii (protrombina) e i, na presença de alguns tipos de anticoagulantes circulantes, em pacientes com doença hepática grave, em condições que alterem a absorção, síntese e o metabolismo da vitamina k e em pacientes com hipofibrinogenemia. Método: coagulométrico em sangue venoso.</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17</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Análise de Caracteres Físicos, Elementos e Sedimento da Urina (EAS)</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Exame de Urina para análise qualitativa, quantitativa de elementos anormais (físicos e químicos) e do sedimento urinário. </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18</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Bacterioscopia (Gram)</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bacterioscópico ao Gram permite um estudo acurado das características morfotintoriais das bactérias e outros elementos (fungos, leucócitos, outros tipos celulares, etc).</w:t>
            </w:r>
            <w:r w:rsidRPr="00620982">
              <w:rPr>
                <w:rFonts w:ascii="Arial" w:hAnsi="Arial" w:cs="Arial"/>
                <w:color w:val="444444"/>
                <w:shd w:val="clear" w:color="auto" w:fill="FFFFFF"/>
              </w:rPr>
              <w:t> </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19</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w:t>
            </w:r>
          </w:p>
        </w:tc>
        <w:tc>
          <w:tcPr>
            <w:tcW w:w="6095"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então uma representação em duas 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É Raios X simples de tórax.</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210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20</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 e Perfil</w:t>
            </w:r>
          </w:p>
        </w:tc>
        <w:tc>
          <w:tcPr>
            <w:tcW w:w="6095"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então uma representação em duas 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e perfil.</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350</w:t>
            </w:r>
          </w:p>
        </w:tc>
      </w:tr>
      <w:tr w:rsidR="00730080" w:rsidRPr="00620982" w:rsidTr="00730080">
        <w:trPr>
          <w:trHeight w:val="482"/>
        </w:trPr>
        <w:tc>
          <w:tcPr>
            <w:tcW w:w="501"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21</w:t>
            </w:r>
          </w:p>
        </w:tc>
        <w:tc>
          <w:tcPr>
            <w:tcW w:w="1559"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Tomografia computadorizada de Tórax</w:t>
            </w:r>
          </w:p>
        </w:tc>
        <w:tc>
          <w:tcPr>
            <w:tcW w:w="6095"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Consiste no método de diagnóstico por imagem que através de cortes axiais proporciona estudo detalhado de diferentes estruturas do corpo humano, facilita a localização, detecta alterações muito pequenas em ossos, tecidos, órgãos e outras estruturas do corpo e proporciona maior precisão nas intervenções clínicas e cirúrgicas.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709"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84</w:t>
            </w:r>
          </w:p>
        </w:tc>
      </w:tr>
    </w:tbl>
    <w:p w:rsidR="00730080" w:rsidRPr="00620982" w:rsidRDefault="00730080" w:rsidP="00730080">
      <w:pPr>
        <w:pStyle w:val="PargrafodaLista"/>
        <w:ind w:left="360"/>
        <w:jc w:val="both"/>
        <w:rPr>
          <w:rFonts w:ascii="Arial" w:hAnsi="Arial" w:cs="Arial"/>
        </w:rPr>
      </w:pPr>
    </w:p>
    <w:p w:rsidR="00730080" w:rsidRPr="00620982" w:rsidRDefault="00730080" w:rsidP="00730080">
      <w:pPr>
        <w:pStyle w:val="PargrafodaLista"/>
        <w:ind w:left="360"/>
        <w:jc w:val="both"/>
        <w:rPr>
          <w:rFonts w:ascii="Arial" w:hAnsi="Arial" w:cs="Arial"/>
        </w:rPr>
      </w:pPr>
    </w:p>
    <w:p w:rsidR="00730080" w:rsidRPr="00620982" w:rsidRDefault="00730080" w:rsidP="00730080">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 xml:space="preserve">JUSTIFICATIVA DA CONTRATAÇÃO                                                                                                           </w:t>
      </w:r>
    </w:p>
    <w:p w:rsidR="00730080" w:rsidRPr="00620982" w:rsidRDefault="00730080" w:rsidP="00730080">
      <w:pPr>
        <w:pStyle w:val="PargrafodaLista"/>
        <w:spacing w:after="11"/>
        <w:ind w:left="360" w:right="259"/>
        <w:jc w:val="both"/>
        <w:rPr>
          <w:rFonts w:ascii="Arial" w:hAnsi="Arial" w:cs="Arial"/>
          <w:lang w:eastAsia="ar-SA"/>
        </w:rPr>
      </w:pPr>
    </w:p>
    <w:p w:rsidR="00730080" w:rsidRPr="00620982" w:rsidRDefault="00730080" w:rsidP="00730080">
      <w:pPr>
        <w:pStyle w:val="PargrafodaLista"/>
        <w:numPr>
          <w:ilvl w:val="1"/>
          <w:numId w:val="19"/>
        </w:numPr>
        <w:spacing w:after="11"/>
        <w:ind w:right="259"/>
        <w:jc w:val="both"/>
        <w:rPr>
          <w:rFonts w:ascii="Arial" w:hAnsi="Arial" w:cs="Arial"/>
          <w:lang w:eastAsia="ar-SA"/>
        </w:rPr>
      </w:pPr>
      <w:r w:rsidRPr="00620982">
        <w:rPr>
          <w:rFonts w:ascii="Arial" w:hAnsi="Arial" w:cs="Arial"/>
          <w:lang w:eastAsia="ar-SA"/>
        </w:rPr>
        <w:t xml:space="preserve">     A contratualização das empresas prestadoras de serviços de exames laboratoriais de</w:t>
      </w:r>
    </w:p>
    <w:p w:rsidR="00730080" w:rsidRPr="00620982" w:rsidRDefault="00730080" w:rsidP="00730080">
      <w:pPr>
        <w:spacing w:after="11"/>
        <w:ind w:right="259"/>
        <w:jc w:val="both"/>
        <w:rPr>
          <w:rFonts w:ascii="Arial" w:hAnsi="Arial" w:cs="Arial"/>
          <w:lang w:eastAsia="ar-SA"/>
        </w:rPr>
      </w:pPr>
      <w:r w:rsidRPr="00620982">
        <w:rPr>
          <w:rFonts w:ascii="Arial" w:hAnsi="Arial" w:cs="Arial"/>
          <w:lang w:eastAsia="ar-SA"/>
        </w:rPr>
        <w:t>análises clínicas e de exames de imagem, discriminados nesse Termo de Referência, tem como principal objetivo assegurar uma melhor confirmação e diagnóstico da covid-19 nos pacientes do município de Janaúba/MG.</w:t>
      </w:r>
    </w:p>
    <w:p w:rsidR="00730080" w:rsidRPr="00620982" w:rsidRDefault="00730080" w:rsidP="00730080">
      <w:pPr>
        <w:spacing w:after="11"/>
        <w:ind w:right="259"/>
        <w:jc w:val="both"/>
        <w:rPr>
          <w:rFonts w:ascii="Arial" w:hAnsi="Arial" w:cs="Arial"/>
          <w:lang w:eastAsia="ar-SA"/>
        </w:rPr>
      </w:pPr>
    </w:p>
    <w:p w:rsidR="00730080" w:rsidRPr="00620982" w:rsidRDefault="00730080" w:rsidP="00730080">
      <w:pPr>
        <w:pStyle w:val="PargrafodaLista"/>
        <w:numPr>
          <w:ilvl w:val="1"/>
          <w:numId w:val="19"/>
        </w:numPr>
        <w:spacing w:after="11"/>
        <w:ind w:left="0" w:right="259" w:firstLine="0"/>
        <w:jc w:val="both"/>
        <w:rPr>
          <w:rFonts w:ascii="Arial" w:hAnsi="Arial" w:cs="Arial"/>
          <w:lang w:eastAsia="ar-SA"/>
        </w:rPr>
      </w:pPr>
      <w:r w:rsidRPr="00620982">
        <w:rPr>
          <w:rFonts w:ascii="Arial" w:hAnsi="Arial" w:cs="Arial"/>
          <w:lang w:eastAsia="ar-SA"/>
        </w:rPr>
        <w:t>Diante da pandemia provocada pelo agente COVID – 19 e da consequente necessidade de medidas de enfrentamento e cerceamento a essa pandemia no Município de Janaúba. Faz - se necessário realizar procedimento administrativo para contratar empresas que desempenham serviços correspondentes a realização de exames laboratoriais de Análises Clínicas e exames de imagem, para diagnóstico e confirmação dos pacientes com suspeita do novo coronavírus (COVID-19).</w:t>
      </w:r>
    </w:p>
    <w:p w:rsidR="00730080" w:rsidRPr="00620982" w:rsidRDefault="00730080" w:rsidP="00730080">
      <w:pPr>
        <w:spacing w:after="11"/>
        <w:ind w:right="259"/>
        <w:jc w:val="both"/>
        <w:rPr>
          <w:rFonts w:ascii="Arial" w:hAnsi="Arial" w:cs="Arial"/>
        </w:rPr>
      </w:pPr>
    </w:p>
    <w:p w:rsidR="00730080" w:rsidRPr="00620982" w:rsidRDefault="00730080" w:rsidP="00730080">
      <w:pPr>
        <w:pStyle w:val="PargrafodaLista"/>
        <w:numPr>
          <w:ilvl w:val="1"/>
          <w:numId w:val="19"/>
        </w:numPr>
        <w:spacing w:after="11"/>
        <w:ind w:left="0" w:right="259" w:firstLine="0"/>
        <w:jc w:val="both"/>
        <w:rPr>
          <w:rFonts w:ascii="Arial" w:hAnsi="Arial" w:cs="Arial"/>
          <w:lang w:eastAsia="ar-SA"/>
        </w:rPr>
      </w:pPr>
      <w:r w:rsidRPr="00620982">
        <w:rPr>
          <w:rFonts w:ascii="Arial" w:hAnsi="Arial" w:cs="Arial"/>
        </w:rPr>
        <w:lastRenderedPageBreak/>
        <w:t xml:space="preserve">A contratação aqui mencionada, tem fundamento nos motivos supracitados, como também na conjuntura expressa a seguir: </w:t>
      </w:r>
    </w:p>
    <w:p w:rsidR="00730080" w:rsidRPr="00620982" w:rsidRDefault="00730080" w:rsidP="00730080">
      <w:pPr>
        <w:pStyle w:val="PargrafodaLista"/>
        <w:spacing w:after="11"/>
        <w:ind w:left="360" w:right="259"/>
        <w:jc w:val="both"/>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A Organização Mundial da Saúde (OMS) declarou nesta quarta-feira (11/03) que está em curso uma pandemia - termo usado para descrever uma situação em que uma doença infecciosa ameaça muitas pessoas ao redor do mundo simultaneamente, expressa através do novo COVID - 19.</w:t>
      </w:r>
    </w:p>
    <w:p w:rsidR="00730080" w:rsidRPr="00620982" w:rsidRDefault="00730080" w:rsidP="00730080">
      <w:pPr>
        <w:pStyle w:val="PargrafodaLista"/>
        <w:spacing w:after="11"/>
        <w:ind w:left="0" w:right="259"/>
        <w:jc w:val="both"/>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 xml:space="preserve">Que trata-se de uma doença respiratória aguda causada pelo </w:t>
      </w:r>
      <w:hyperlink r:id="rId10" w:tooltip="Coronavírus da Síndrome Respiratória Aguda Grave 2" w:history="1">
        <w:r w:rsidRPr="00620982">
          <w:rPr>
            <w:rStyle w:val="Hyperlink"/>
            <w:rFonts w:ascii="Arial" w:hAnsi="Arial" w:cs="Arial"/>
          </w:rPr>
          <w:t>coronavírus da síndrome respiratória aguda grave 2</w:t>
        </w:r>
      </w:hyperlink>
      <w:r w:rsidRPr="00620982">
        <w:rPr>
          <w:rFonts w:ascii="Arial" w:hAnsi="Arial" w:cs="Arial"/>
        </w:rPr>
        <w:t xml:space="preserve"> (SARS-CoV-2), cujos sintomas são inespecíficos e os infectados podem ser assintomáticos ou desenvolver sintomas semelhantes aos da </w:t>
      </w:r>
      <w:hyperlink r:id="rId11" w:tooltip="Gripe" w:history="1">
        <w:r w:rsidRPr="00620982">
          <w:rPr>
            <w:rStyle w:val="Hyperlink"/>
            <w:rFonts w:ascii="Arial" w:hAnsi="Arial" w:cs="Arial"/>
          </w:rPr>
          <w:t>gripe</w:t>
        </w:r>
      </w:hyperlink>
      <w:r w:rsidRPr="00620982">
        <w:rPr>
          <w:rFonts w:ascii="Arial" w:hAnsi="Arial" w:cs="Arial"/>
        </w:rPr>
        <w:t xml:space="preserve">, como febre, tosse, fadiga, falta de ar ou dores musculares. Que um desenvolvimento mais avançado dessa enfermidade pode levar a </w:t>
      </w:r>
      <w:hyperlink r:id="rId12" w:tooltip="Pneumonia" w:history="1">
        <w:r w:rsidRPr="00620982">
          <w:rPr>
            <w:rStyle w:val="Hyperlink"/>
            <w:rFonts w:ascii="Arial" w:hAnsi="Arial" w:cs="Arial"/>
          </w:rPr>
          <w:t>pneumonia</w:t>
        </w:r>
      </w:hyperlink>
      <w:r w:rsidRPr="00620982">
        <w:rPr>
          <w:rFonts w:ascii="Arial" w:hAnsi="Arial" w:cs="Arial"/>
        </w:rPr>
        <w:t xml:space="preserve"> grave, síndrome do desconforto respiratório agudo, </w:t>
      </w:r>
      <w:hyperlink r:id="rId13" w:tooltip="Sepse" w:history="1">
        <w:r w:rsidRPr="00620982">
          <w:rPr>
            <w:rStyle w:val="Hyperlink"/>
            <w:rFonts w:ascii="Arial" w:hAnsi="Arial" w:cs="Arial"/>
          </w:rPr>
          <w:t>sepse</w:t>
        </w:r>
      </w:hyperlink>
      <w:r w:rsidRPr="00620982">
        <w:rPr>
          <w:rFonts w:ascii="Arial" w:hAnsi="Arial" w:cs="Arial"/>
        </w:rPr>
        <w:t>, choque séptico e morte.</w:t>
      </w:r>
    </w:p>
    <w:p w:rsidR="00730080" w:rsidRPr="00620982" w:rsidRDefault="00730080" w:rsidP="00730080">
      <w:pPr>
        <w:pStyle w:val="PargrafodaLista"/>
        <w:spacing w:after="11"/>
        <w:ind w:left="0" w:right="259"/>
        <w:jc w:val="both"/>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em 22 de janeiro de 2020, foi ativado o Centro de Operações de Emergências em Saúde Pública para o novo Coronavírus (COE – nCoV), estratégia prevista no Plano Nacional de Resposta às Emergências em Saúde Pública do Ministério da Saúde.</w:t>
      </w:r>
    </w:p>
    <w:p w:rsidR="00730080" w:rsidRPr="00620982" w:rsidRDefault="00730080" w:rsidP="00730080">
      <w:pPr>
        <w:pStyle w:val="PargrafodaLista"/>
        <w:ind w:left="0"/>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a Organização Mundial de Saúde (OMS) declarou, em 30 de Janeiro de 2020, emergência em saúde pública de importância internacional (ESP II) dado o grau de avanço dos casos de contaminação pelo novo coronavirus.</w:t>
      </w:r>
    </w:p>
    <w:p w:rsidR="00730080" w:rsidRPr="00620982" w:rsidRDefault="00730080" w:rsidP="00730080">
      <w:pPr>
        <w:pStyle w:val="PargrafodaLista"/>
        <w:ind w:left="0"/>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foi declarado em 03 de Fevereiro de 2020, o Estado de Emergência em Saúde Pública de Importância Nacional (ESPIN), por meio da Portaria MS nº 188, nos termos do Decreto nº 7.616 de 17 de Novembro de 2011, a qual definiu o Centro de Operações de Emergências em Saúde Pública (COE-nCov) como mecanismo nacional de gestão coordenada de respostas a emergência na esfera nacional cujo controle recai sobre a Secretaria de Vigilância em Saúde – SVS/MS.</w:t>
      </w:r>
    </w:p>
    <w:p w:rsidR="00730080" w:rsidRPr="00620982" w:rsidRDefault="00730080" w:rsidP="00730080">
      <w:pPr>
        <w:pStyle w:val="PargrafodaLista"/>
        <w:ind w:left="0"/>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o Estado de Minas Gerais, em função da pandemia do novo coronavírus (Covid-19), decretou situação de emergência em saúde, através do Decreto de Emergência nº decretou no dia 13 de Março.</w:t>
      </w:r>
    </w:p>
    <w:p w:rsidR="00730080" w:rsidRPr="00620982" w:rsidRDefault="00730080" w:rsidP="00730080">
      <w:pPr>
        <w:pStyle w:val="PargrafodaLista"/>
        <w:ind w:left="0"/>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o Município e Janaúba/MG, em função da pandemia do novo coronavírus (Covid-19), decretou situação de emergência através do Decreto Municipal 28/2020.</w:t>
      </w:r>
    </w:p>
    <w:p w:rsidR="00730080" w:rsidRPr="00620982" w:rsidRDefault="00730080" w:rsidP="00730080">
      <w:pPr>
        <w:pStyle w:val="PargrafodaLista"/>
        <w:ind w:left="0"/>
        <w:rPr>
          <w:rFonts w:ascii="Arial" w:hAnsi="Arial" w:cs="Arial"/>
          <w:lang w:eastAsia="ar-SA"/>
        </w:rPr>
      </w:pPr>
    </w:p>
    <w:p w:rsidR="00730080" w:rsidRPr="00620982" w:rsidRDefault="00730080" w:rsidP="00730080">
      <w:pPr>
        <w:pStyle w:val="PargrafodaLista"/>
        <w:numPr>
          <w:ilvl w:val="2"/>
          <w:numId w:val="19"/>
        </w:numPr>
        <w:spacing w:after="11"/>
        <w:ind w:left="0" w:right="259" w:firstLine="0"/>
        <w:jc w:val="both"/>
        <w:rPr>
          <w:rFonts w:ascii="Arial" w:hAnsi="Arial" w:cs="Arial"/>
          <w:lang w:eastAsia="ar-SA"/>
        </w:rPr>
      </w:pPr>
      <w:r w:rsidRPr="00620982">
        <w:rPr>
          <w:rFonts w:ascii="Arial" w:hAnsi="Arial" w:cs="Arial"/>
        </w:rPr>
        <w:t>Que se evidencia a necessidade da adoção de medidas emergenciais para prestar assistência em saúde a população de Janaúba e também para os profissionais em saúde que trabalham em contato direto com a população susceptível e/ou acometida pelo Coronavirus.</w:t>
      </w:r>
    </w:p>
    <w:p w:rsidR="00730080" w:rsidRPr="00620982" w:rsidRDefault="00730080" w:rsidP="00730080">
      <w:pPr>
        <w:pStyle w:val="PargrafodaLista"/>
        <w:rPr>
          <w:rFonts w:ascii="Arial" w:hAnsi="Arial" w:cs="Arial"/>
          <w:lang w:eastAsia="ar-SA"/>
        </w:rPr>
      </w:pPr>
    </w:p>
    <w:p w:rsidR="00730080" w:rsidRPr="00620982" w:rsidRDefault="00730080" w:rsidP="00730080">
      <w:pPr>
        <w:pStyle w:val="PargrafodaLista"/>
        <w:spacing w:after="11"/>
        <w:ind w:right="259"/>
        <w:jc w:val="both"/>
        <w:rPr>
          <w:rFonts w:ascii="Arial" w:hAnsi="Arial" w:cs="Arial"/>
          <w:lang w:eastAsia="ar-SA"/>
        </w:rPr>
      </w:pPr>
    </w:p>
    <w:p w:rsidR="00730080" w:rsidRPr="00620982" w:rsidRDefault="00730080" w:rsidP="00730080">
      <w:pPr>
        <w:spacing w:after="11"/>
        <w:ind w:right="259"/>
        <w:jc w:val="both"/>
        <w:rPr>
          <w:rFonts w:ascii="Arial" w:hAnsi="Arial" w:cs="Arial"/>
        </w:rPr>
      </w:pPr>
    </w:p>
    <w:p w:rsidR="00730080" w:rsidRPr="00620982" w:rsidRDefault="00730080" w:rsidP="00730080">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ESPECIFICAÇÃO DOS SERVIÇOS</w:t>
      </w:r>
    </w:p>
    <w:p w:rsidR="00730080" w:rsidRPr="00620982" w:rsidRDefault="00730080" w:rsidP="00730080">
      <w:pPr>
        <w:pStyle w:val="Corpodetexto"/>
        <w:spacing w:line="276" w:lineRule="auto"/>
        <w:rPr>
          <w:rFonts w:ascii="Arial" w:hAnsi="Arial" w:cs="Arial"/>
        </w:rPr>
      </w:pPr>
      <w:r w:rsidRPr="00620982">
        <w:rPr>
          <w:rFonts w:ascii="Arial" w:hAnsi="Arial" w:cs="Arial"/>
        </w:rPr>
        <w:t>3.1. Contratação de empresas para realizar exames de análises clínicas e exames de imagens, procedimentos necessários para confirmação e diagnóstico da covid-19 nos pacientes do município de Janaúba/MG. Conforme descrições e quantidades abaixo elencadas:</w:t>
      </w:r>
    </w:p>
    <w:p w:rsidR="00730080" w:rsidRPr="00620982" w:rsidRDefault="00730080" w:rsidP="00730080">
      <w:pPr>
        <w:suppressAutoHyphens/>
        <w:spacing w:line="276" w:lineRule="auto"/>
        <w:jc w:val="both"/>
        <w:rPr>
          <w:rFonts w:ascii="Arial" w:hAnsi="Arial" w:cs="Arial"/>
        </w:rPr>
      </w:pP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490"/>
        <w:gridCol w:w="3969"/>
        <w:gridCol w:w="567"/>
        <w:gridCol w:w="851"/>
        <w:gridCol w:w="850"/>
        <w:gridCol w:w="1276"/>
      </w:tblGrid>
      <w:tr w:rsidR="00730080" w:rsidRPr="00620982" w:rsidTr="00730080">
        <w:trPr>
          <w:trHeight w:val="326"/>
        </w:trPr>
        <w:tc>
          <w:tcPr>
            <w:tcW w:w="428" w:type="dxa"/>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N°</w:t>
            </w:r>
          </w:p>
        </w:tc>
        <w:tc>
          <w:tcPr>
            <w:tcW w:w="1490" w:type="dxa"/>
            <w:shd w:val="clear" w:color="auto" w:fill="auto"/>
            <w:noWrap/>
            <w:vAlign w:val="center"/>
            <w:hideMark/>
          </w:tcPr>
          <w:p w:rsidR="00730080" w:rsidRPr="00620982" w:rsidRDefault="00730080" w:rsidP="00730080">
            <w:pPr>
              <w:pStyle w:val="SemEspaamento"/>
              <w:jc w:val="center"/>
              <w:rPr>
                <w:rFonts w:ascii="Arial" w:hAnsi="Arial" w:cs="Arial"/>
                <w:b/>
              </w:rPr>
            </w:pPr>
            <w:r w:rsidRPr="00620982">
              <w:rPr>
                <w:rFonts w:ascii="Arial" w:hAnsi="Arial" w:cs="Arial"/>
                <w:b/>
                <w:bCs/>
              </w:rPr>
              <w:t>Item</w:t>
            </w:r>
          </w:p>
        </w:tc>
        <w:tc>
          <w:tcPr>
            <w:tcW w:w="3969"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Especificação do objeto</w:t>
            </w:r>
          </w:p>
        </w:tc>
        <w:tc>
          <w:tcPr>
            <w:tcW w:w="567"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Uni.</w:t>
            </w:r>
          </w:p>
        </w:tc>
        <w:tc>
          <w:tcPr>
            <w:tcW w:w="851" w:type="dxa"/>
            <w:shd w:val="clear" w:color="auto" w:fill="auto"/>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Quant.</w:t>
            </w:r>
          </w:p>
        </w:tc>
        <w:tc>
          <w:tcPr>
            <w:tcW w:w="850"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Preço unitário</w:t>
            </w:r>
          </w:p>
        </w:tc>
        <w:tc>
          <w:tcPr>
            <w:tcW w:w="1276"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Valor Total</w:t>
            </w:r>
          </w:p>
        </w:tc>
      </w:tr>
      <w:tr w:rsidR="00730080" w:rsidRPr="00620982" w:rsidTr="00730080">
        <w:trPr>
          <w:trHeight w:val="555"/>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Exames de RT-PCR para COVID-19</w:t>
            </w:r>
          </w:p>
        </w:tc>
        <w:tc>
          <w:tcPr>
            <w:tcW w:w="3969" w:type="dxa"/>
            <w:shd w:val="clear" w:color="auto" w:fill="auto"/>
            <w:vAlign w:val="center"/>
          </w:tcPr>
          <w:p w:rsidR="00730080" w:rsidRPr="00620982" w:rsidRDefault="00730080" w:rsidP="00730080">
            <w:pPr>
              <w:spacing w:before="100" w:beforeAutospacing="1" w:after="100" w:afterAutospacing="1"/>
              <w:jc w:val="both"/>
              <w:rPr>
                <w:rFonts w:ascii="Arial" w:hAnsi="Arial" w:cs="Arial"/>
                <w:color w:val="FF0000"/>
              </w:rPr>
            </w:pPr>
            <w:r w:rsidRPr="00620982">
              <w:rPr>
                <w:rFonts w:ascii="Arial" w:hAnsi="Arial" w:cs="Arial"/>
              </w:rPr>
              <w:t xml:space="preserve"> É considerado o padrão-ouro no diagnóstico da COVID-19, cuja confirmação é obtida através da detecção do RNA do SARS-CoV-2 na amostra analisada, preferencialmente obtida de </w:t>
            </w:r>
            <w:r w:rsidRPr="00620982">
              <w:rPr>
                <w:rFonts w:ascii="Arial" w:hAnsi="Arial" w:cs="Arial"/>
              </w:rPr>
              <w:lastRenderedPageBreak/>
              <w:t>raspado de nasofaringe. Transforma RNA do vírus em DNA. O DNA é amplificado. Se houver material genético do SARS-CoV-2 na amostra, sondas específicas detectam a sua presença e emitem um sinal, que é captado pelo equipamento e traduzido em resultado positivo. Em caso de resultado positivo, a suspeita de COVID-19 é confirmada.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500</w:t>
            </w:r>
          </w:p>
        </w:tc>
        <w:tc>
          <w:tcPr>
            <w:tcW w:w="850" w:type="dxa"/>
            <w:shd w:val="clear" w:color="auto" w:fill="auto"/>
            <w:vAlign w:val="center"/>
            <w:hideMark/>
          </w:tcPr>
          <w:p w:rsidR="00730080" w:rsidRPr="00620982" w:rsidRDefault="00730080" w:rsidP="00730080">
            <w:pPr>
              <w:pStyle w:val="SemEspaamento"/>
              <w:jc w:val="center"/>
              <w:rPr>
                <w:rFonts w:ascii="Arial" w:hAnsi="Arial" w:cs="Arial"/>
                <w:color w:val="FF0000"/>
              </w:rPr>
            </w:pPr>
            <w:r w:rsidRPr="00620982">
              <w:rPr>
                <w:rFonts w:ascii="Arial" w:hAnsi="Arial" w:cs="Arial"/>
              </w:rPr>
              <w:t>R$ 200,00</w:t>
            </w:r>
          </w:p>
        </w:tc>
        <w:tc>
          <w:tcPr>
            <w:tcW w:w="1276" w:type="dxa"/>
            <w:shd w:val="clear" w:color="auto" w:fill="auto"/>
            <w:noWrap/>
            <w:vAlign w:val="center"/>
            <w:hideMark/>
          </w:tcPr>
          <w:p w:rsidR="00730080" w:rsidRPr="00620982" w:rsidRDefault="00730080" w:rsidP="00730080">
            <w:pPr>
              <w:pStyle w:val="SemEspaamento"/>
              <w:jc w:val="center"/>
              <w:rPr>
                <w:rFonts w:ascii="Arial" w:hAnsi="Arial" w:cs="Arial"/>
                <w:color w:val="FF0000"/>
              </w:rPr>
            </w:pPr>
            <w:r w:rsidRPr="00620982">
              <w:rPr>
                <w:rFonts w:ascii="Arial" w:hAnsi="Arial" w:cs="Arial"/>
              </w:rPr>
              <w:t>R$ 100.000,00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02</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Teste sorológico IgG/IgM para COVID-19</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shd w:val="clear" w:color="auto" w:fill="FFFFFF"/>
              </w:rPr>
              <w:t xml:space="preserve">O teste de sorologia deve ser realizado pelo menos 10 dias após o aparecimento dos sintomas característicos da COVID-19. A interpretação do resultado deve ser realizada com cautela pelo médico solicitante, levando em consideração os sintomas do paciente, o histórico clínico e os resultados obtidos do exame de RT-PCR (se houver). Os anticorpos da classe IgM podem ser encontrados nas fases iniciais da doença, já a presença dos anticorpos da classe IgG é indicativa de que já decorreu algum tempo desde a infecção e de que a pessoa provavelmente desenvolveu imunidade contra a doença. </w:t>
            </w:r>
            <w:r w:rsidRPr="00620982">
              <w:rPr>
                <w:rFonts w:ascii="Arial" w:hAnsi="Arial" w:cs="Arial"/>
              </w:rPr>
              <w:t>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700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R$ 220,00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R$ 154.000,00</w:t>
            </w:r>
          </w:p>
        </w:tc>
      </w:tr>
      <w:tr w:rsidR="00730080" w:rsidRPr="00620982" w:rsidTr="00730080">
        <w:trPr>
          <w:trHeight w:val="1004"/>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03</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Hemograma Completo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Consiste na contagem de: Eritrócitos, leucócitos (Global e Diferencial), plaquetas, dosagem de hemoglobina, hematócrito, determinação dos índices hematimetricos e avaliação de esfregaço sanguíneo.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R$ 4,11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R$ 7.192,50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04</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Ureia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Exame de sangue para dosagem de ureia.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05</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Creatinina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de creatinina é um </w:t>
            </w:r>
            <w:hyperlink r:id="rId14" w:tgtFrame="_blank" w:history="1">
              <w:r w:rsidRPr="00620982">
                <w:rPr>
                  <w:rFonts w:ascii="Arial" w:hAnsi="Arial" w:cs="Arial"/>
                </w:rPr>
                <w:t>exame de sangue </w:t>
              </w:r>
            </w:hyperlink>
            <w:r w:rsidRPr="00620982">
              <w:rPr>
                <w:rFonts w:ascii="Arial" w:hAnsi="Arial" w:cs="Arial"/>
              </w:rPr>
              <w:t>que mede a quantidade de creatinina, uma proteína produzida naturalmente no organismo a partir da degradação da creatina. Sua dosagem é útil na avaliação e no monitoramento da função excretora renal.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2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06</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Sódio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O sódio é o principal cátion extracelular, além disso é o determinante primordial da osmolaridade celular. Alguns fatores regulam a homeostasia do balanço do sódio, tais como, aldosterona e hormônio </w:t>
            </w:r>
            <w:r w:rsidRPr="00620982">
              <w:rPr>
                <w:rFonts w:ascii="Arial" w:hAnsi="Arial" w:cs="Arial"/>
              </w:rPr>
              <w:lastRenderedPageBreak/>
              <w:t>antidiurético. A dosagem de sódio é útil na avaliação dos distúrbios hidroeletrolíticos.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07</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Potássio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dosagem de potássio é útil na avaliação do equilíbrio hidroeletrolítico e acidobásico. A monitorização do potássio é utilizada no acompanhamento de pacientes em terapia com diuréticos, em nefropatias, na cetoacidose diabética, no manejo da hidratação parenteral e na insuficiência hepática.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08</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Glutamico-Oxalacetica (TGO)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transaminase glutamico-oxalacetica é uma enzima encontrada em altas quantidades no músculo cardíaco, esquelético, células hepáticas e, em menor quantidade, no pâncreas e nos rins. A dosagem de transaminase glutamico-oxalacetica é útil, por exemplo, no diagnóstico do infarto do miocárdio, das doenças hepáticas, da pancreatite aguda, da operação cardíaca, da cateterização cardíaca, da distrofia muscular, da mononucleose, da doença renal agudae de convulsões recentes.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09</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Glutamico-Piruvica (TGP)</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transaminase glutamico-piruvica é encontrada, principalmente, no fígado. A dosagem de transaminase glutamico-piruvica é útil na avaliação de hepatopatias.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10</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Fosfatase Alcalina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da fosfatase alcalina serve para identificar a quantidade da enzina fosfatase alcalina no sangue, investigando distúrbios hepáticos ou ósseos.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Gama-Glutamil-Transferase (Gama GT)</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de gama GT mede as quantidades da enzima amaglutamiltransferase (GGT ou gama GT)  no sangue e avalia a função hepática.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R$ 3,51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R$ 6.142,50</w:t>
            </w:r>
          </w:p>
        </w:tc>
      </w:tr>
      <w:tr w:rsidR="00730080" w:rsidRPr="00620982" w:rsidTr="00730080">
        <w:trPr>
          <w:trHeight w:val="418"/>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12</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de Coagulação</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 xml:space="preserve">A determinação de tempo de coagulação avalia a atividade dos fatores que participam do processo intrínseco da coagulação. Resultados normais, no </w:t>
            </w:r>
            <w:r w:rsidRPr="00620982">
              <w:rPr>
                <w:rFonts w:ascii="Arial" w:hAnsi="Arial" w:cs="Arial"/>
              </w:rPr>
              <w:lastRenderedPageBreak/>
              <w:t>entanto, podem ser obtidos em pacientes com deficiência leve ou moderada de um desses fatores. O resultado mostra o tempo gasto para a homeostasia completa do sangue quando colhido e colocado em condições padrão.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  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lastRenderedPageBreak/>
              <w:t>13</w:t>
            </w:r>
          </w:p>
        </w:tc>
        <w:tc>
          <w:tcPr>
            <w:tcW w:w="1490"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color w:val="1969A0"/>
                <w:bdr w:val="none" w:sz="0" w:space="0" w:color="auto" w:frame="1"/>
              </w:rPr>
              <w:t> </w:t>
            </w:r>
            <w:r w:rsidRPr="00620982">
              <w:rPr>
                <w:rFonts w:ascii="Arial" w:hAnsi="Arial" w:cs="Arial"/>
                <w:b/>
              </w:rPr>
              <w:t>Determinação de Tempo de Sangramento -Duke</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do tempo de sangramento avalia a interação da plaqueta com a parede do vaso sanguíneo e a formação subsequente do coágulo hemostático de modo independente da cascata da coagulação. Existe uma relação quase linear entre a contagem de plaquetas e o tempo de sangramento. Pode ser realizado pela técnica de duke, a qual é feita através de uma punção no lobo da orelha.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14</w:t>
            </w:r>
          </w:p>
        </w:tc>
        <w:tc>
          <w:tcPr>
            <w:tcW w:w="1490"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b/>
              </w:rPr>
              <w:t>Contagem de Plaquetas</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contagem de plaquetas consiste na avaliação quantitativa deste elemento do sangue. É realizada pela contagem eletrônica em aparelho automático ou pela contagem no microscópico em câmaras específicas. Permite realizar o diagnóstico de hiperplaquetenia e plaquetopenia.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15</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de tromboplastina parcial ativada (TTP ativada)</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O tempo de tromboplastina parcial corresponde ao tempo gasto para ocorrer a coagulação do plasma recalcificado em presença de cefalina.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R$ 5,77</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R$ 10.097,50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16</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 xml:space="preserve">Determinação de Tempo e </w:t>
            </w:r>
            <w:r w:rsidRPr="00620982">
              <w:rPr>
                <w:rFonts w:ascii="Arial" w:hAnsi="Arial" w:cs="Arial"/>
                <w:b/>
              </w:rPr>
              <w:lastRenderedPageBreak/>
              <w:t>Atividade Da Protrombina (TAP)</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lastRenderedPageBreak/>
              <w:t xml:space="preserve">O tempo da protrombina está prolongado nas seguintes condições: nas deficiências </w:t>
            </w:r>
            <w:r w:rsidRPr="00620982">
              <w:rPr>
                <w:rFonts w:ascii="Arial" w:hAnsi="Arial" w:cs="Arial"/>
              </w:rPr>
              <w:lastRenderedPageBreak/>
              <w:t>de fatores vii, v, x, ii (protrombina) e i, na presença de alguns tipos de anticoagulantes circulantes, em pacientes com doença hepática grave, em condições que alterem a absorção, síntese e o metabolismo da vitamina k e em pacientes com hipofibrinogenemia. Método: coagulométrico em sangue venoso.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17</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Análise de Caracteres Físicos, Elementos e Sedimento da Urina (EAS)</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Exame de Urina para análise qualitativa, quantitativa de elementos anormais (físicos e químicos) e do sedimento urinário.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R$ 3,70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R$ 6.475,00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18</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Bacterioscopia (Gram)</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bacterioscópico ao Gram permite um estudo acurado das características morfotintoriais das bactérias e outros elementos (fungos, leucócitos, outros tipos celulares, etc).</w:t>
            </w:r>
            <w:r w:rsidRPr="00620982">
              <w:rPr>
                <w:rFonts w:ascii="Arial" w:hAnsi="Arial" w:cs="Arial"/>
                <w:color w:val="444444"/>
                <w:shd w:val="clear" w:color="auto" w:fill="FFFFFF"/>
              </w:rPr>
              <w:t> </w:t>
            </w:r>
            <w:r w:rsidRPr="00620982">
              <w:rPr>
                <w:rFonts w:ascii="Arial" w:hAnsi="Arial" w:cs="Arial"/>
              </w:rPr>
              <w:t>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R$ 2,80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R$ 4.900,00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19</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então uma representação em duas 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É Raios X simples de tórax.</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210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R$ 30,00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R$ 6.300,00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20</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 e Perfil</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 xml:space="preserve">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w:t>
            </w:r>
            <w:r w:rsidRPr="00620982">
              <w:rPr>
                <w:rFonts w:ascii="Arial" w:hAnsi="Arial" w:cs="Arial"/>
              </w:rPr>
              <w:lastRenderedPageBreak/>
              <w:t>então uma representação em duas 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e perfil.</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350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R$ 45,00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R$ 15.750,00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21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Tomografia computadorizada de Tórax</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Consiste no método de diagnóstico por imagem que através de cortes axiais proporciona estudo detalhado de diferentes estruturas do corpo humano, facilita a localização, detecta alterações muito pequenas em ossos, tecidos, órgãos e outras estruturas do corpo e proporciona maior precisão nas intervenções clínicas e cirúrgicas.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84</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R$ 300,00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R$ 25.200,00</w:t>
            </w:r>
          </w:p>
        </w:tc>
      </w:tr>
      <w:tr w:rsidR="00730080" w:rsidRPr="00620982" w:rsidTr="00730080">
        <w:trPr>
          <w:trHeight w:val="331"/>
        </w:trPr>
        <w:tc>
          <w:tcPr>
            <w:tcW w:w="9431" w:type="dxa"/>
            <w:gridSpan w:val="7"/>
            <w:vAlign w:val="center"/>
          </w:tcPr>
          <w:p w:rsidR="00730080" w:rsidRPr="00620982" w:rsidRDefault="00730080" w:rsidP="00730080">
            <w:pPr>
              <w:pStyle w:val="SemEspaamento"/>
              <w:jc w:val="center"/>
              <w:rPr>
                <w:rFonts w:ascii="Arial" w:hAnsi="Arial" w:cs="Arial"/>
                <w:b/>
              </w:rPr>
            </w:pPr>
            <w:r w:rsidRPr="00620982">
              <w:rPr>
                <w:rFonts w:ascii="Arial" w:hAnsi="Arial" w:cs="Arial"/>
                <w:b/>
                <w:bCs/>
              </w:rPr>
              <w:t>Total:                                                                                                                        R$ 378.670,00</w:t>
            </w:r>
          </w:p>
        </w:tc>
      </w:tr>
    </w:tbl>
    <w:p w:rsidR="00730080" w:rsidRPr="00620982" w:rsidRDefault="00730080" w:rsidP="00730080">
      <w:pPr>
        <w:pStyle w:val="SemEspaamento"/>
        <w:rPr>
          <w:rFonts w:ascii="Arial" w:hAnsi="Arial" w:cs="Arial"/>
        </w:rPr>
      </w:pPr>
    </w:p>
    <w:p w:rsidR="00730080" w:rsidRPr="00620982" w:rsidRDefault="00730080" w:rsidP="00730080">
      <w:pPr>
        <w:pStyle w:val="SemEspaamento"/>
        <w:rPr>
          <w:rFonts w:ascii="Arial" w:eastAsiaTheme="minorHAnsi" w:hAnsi="Arial" w:cs="Arial"/>
          <w:lang w:eastAsia="en-US"/>
        </w:rPr>
      </w:pPr>
      <w:r w:rsidRPr="00620982">
        <w:rPr>
          <w:rFonts w:ascii="Arial" w:eastAsiaTheme="minorHAnsi" w:hAnsi="Arial" w:cs="Arial"/>
          <w:lang w:eastAsia="en-US"/>
        </w:rPr>
        <w:t>3.2. Número limite de clinicas a serem contratadas: NÃO HÁ</w:t>
      </w:r>
    </w:p>
    <w:p w:rsidR="00730080" w:rsidRPr="00620982" w:rsidRDefault="00730080" w:rsidP="00730080">
      <w:pPr>
        <w:pStyle w:val="SemEspaamento"/>
        <w:rPr>
          <w:rFonts w:ascii="Arial" w:eastAsiaTheme="minorHAnsi" w:hAnsi="Arial" w:cs="Arial"/>
          <w:lang w:eastAsia="en-US"/>
        </w:rPr>
      </w:pPr>
    </w:p>
    <w:p w:rsidR="00730080" w:rsidRPr="00620982" w:rsidRDefault="00730080" w:rsidP="00730080">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 xml:space="preserve"> VALOR ESTIMADO</w:t>
      </w:r>
    </w:p>
    <w:p w:rsidR="00730080" w:rsidRPr="00620982" w:rsidRDefault="00730080" w:rsidP="00730080">
      <w:pPr>
        <w:spacing w:before="240"/>
        <w:jc w:val="both"/>
        <w:rPr>
          <w:rFonts w:ascii="Arial" w:hAnsi="Arial" w:cs="Arial"/>
          <w:color w:val="000000"/>
        </w:rPr>
      </w:pPr>
      <w:r w:rsidRPr="00620982">
        <w:rPr>
          <w:rFonts w:ascii="Arial" w:hAnsi="Arial" w:cs="Arial"/>
          <w:color w:val="000000"/>
        </w:rPr>
        <w:t xml:space="preserve">4.1. O custo estimado total da presente contratação é de </w:t>
      </w:r>
      <w:r w:rsidRPr="00620982">
        <w:rPr>
          <w:rFonts w:ascii="Arial" w:hAnsi="Arial" w:cs="Arial"/>
          <w:b/>
          <w:bCs/>
        </w:rPr>
        <w:t>R$ 378.670,00</w:t>
      </w:r>
      <w:r w:rsidRPr="00620982">
        <w:rPr>
          <w:rFonts w:ascii="Arial" w:hAnsi="Arial" w:cs="Arial"/>
          <w:b/>
          <w:color w:val="000000"/>
        </w:rPr>
        <w:t xml:space="preserve"> (Trezentos e Setenta e Oito Mil, Seiscentos e Setenta Reais)</w:t>
      </w:r>
      <w:r w:rsidRPr="00620982">
        <w:rPr>
          <w:rFonts w:ascii="Arial" w:hAnsi="Arial" w:cs="Arial"/>
          <w:bCs/>
          <w:color w:val="000000"/>
        </w:rPr>
        <w:t xml:space="preserve">. </w:t>
      </w:r>
      <w:r w:rsidRPr="00620982">
        <w:rPr>
          <w:rFonts w:ascii="Arial" w:hAnsi="Arial" w:cs="Arial"/>
          <w:color w:val="000000"/>
        </w:rPr>
        <w:t xml:space="preserve">O valor apresentado foi apurado conforme Tabela SUS, formalizada pela Portaria GM/MS nº 2.848 de 06 de Novembro de 2007, cujos valores podem ser acessados em consulta a plataforma do DATASUS através do link: </w:t>
      </w:r>
      <w:r w:rsidRPr="00620982">
        <w:rPr>
          <w:rFonts w:ascii="Arial" w:hAnsi="Arial" w:cs="Arial"/>
          <w:color w:val="000000"/>
          <w:u w:val="single"/>
        </w:rPr>
        <w:t>"http://sigtap.datasus.gov.br/tabela-unificada/app/sec/inicio.jsp</w:t>
      </w:r>
      <w:r w:rsidRPr="00620982">
        <w:rPr>
          <w:rFonts w:ascii="Arial" w:hAnsi="Arial" w:cs="Arial"/>
          <w:color w:val="000000"/>
        </w:rPr>
        <w:t>" (valores de juntados em anexo) e também através da Portaria Municipal nº 004 de 16 de Julho de 2020 que dispõe sobre valor de procedimentos ambulatoriais no âmbito do SUS desse Municipio de Janaúba/MG, normativa que segue juntada em anexo.</w:t>
      </w:r>
    </w:p>
    <w:p w:rsidR="00730080" w:rsidRPr="00620982" w:rsidRDefault="00730080" w:rsidP="00730080">
      <w:pPr>
        <w:pStyle w:val="SemEspaamento"/>
        <w:rPr>
          <w:rFonts w:ascii="Arial" w:eastAsiaTheme="minorHAnsi" w:hAnsi="Arial" w:cs="Arial"/>
          <w:lang w:eastAsia="en-US"/>
        </w:rPr>
      </w:pPr>
    </w:p>
    <w:p w:rsidR="00730080" w:rsidRPr="00620982" w:rsidRDefault="00730080" w:rsidP="00730080">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 xml:space="preserve"> VIGÊNCIA DO CONTRATO</w:t>
      </w:r>
    </w:p>
    <w:p w:rsidR="00730080" w:rsidRPr="00620982" w:rsidRDefault="00730080" w:rsidP="00730080">
      <w:pPr>
        <w:pStyle w:val="Corpodetexto"/>
        <w:rPr>
          <w:rFonts w:ascii="Arial" w:hAnsi="Arial" w:cs="Arial"/>
        </w:rPr>
      </w:pPr>
      <w:r w:rsidRPr="00620982">
        <w:rPr>
          <w:rFonts w:ascii="Arial" w:hAnsi="Arial" w:cs="Arial"/>
        </w:rPr>
        <w:t>5.1. O Contrato terá vigência de 12(doze) meses, podendo ser prorrogado, mediante termo Aditivo, desde que seja acordado entre as partes através de declaração por escrito com antecedência mínima de 05(cinco) dias antes do término do contrato, e de conformidade com o estabelecido nas Leis nº. 8.666/93 e 8.883/94 ou rescindido mediante aviso prévio.</w:t>
      </w:r>
    </w:p>
    <w:p w:rsidR="00730080" w:rsidRPr="00620982" w:rsidRDefault="00730080" w:rsidP="00730080">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 xml:space="preserve"> ACOMPANHAMENTO E CONTROLE</w:t>
      </w:r>
    </w:p>
    <w:p w:rsidR="00730080" w:rsidRPr="00620982" w:rsidRDefault="00730080" w:rsidP="00730080">
      <w:pPr>
        <w:pStyle w:val="SemEspaamento"/>
        <w:rPr>
          <w:rFonts w:ascii="Arial" w:hAnsi="Arial" w:cs="Arial"/>
        </w:rPr>
      </w:pPr>
    </w:p>
    <w:p w:rsidR="00730080" w:rsidRPr="00620982" w:rsidRDefault="00730080" w:rsidP="00730080">
      <w:pPr>
        <w:pStyle w:val="SemEspaamento"/>
        <w:numPr>
          <w:ilvl w:val="1"/>
          <w:numId w:val="20"/>
        </w:numPr>
        <w:spacing w:line="276" w:lineRule="auto"/>
        <w:jc w:val="both"/>
        <w:rPr>
          <w:rFonts w:ascii="Arial" w:hAnsi="Arial" w:cs="Arial"/>
          <w:b/>
        </w:rPr>
      </w:pPr>
      <w:r w:rsidRPr="00620982">
        <w:rPr>
          <w:rFonts w:ascii="Arial" w:hAnsi="Arial" w:cs="Arial"/>
        </w:rPr>
        <w:t xml:space="preserve">A fiscalização da contratação será exercida por um representante da Administração </w:t>
      </w:r>
      <w:r w:rsidRPr="00620982">
        <w:rPr>
          <w:rFonts w:ascii="Arial" w:hAnsi="Arial" w:cs="Arial"/>
          <w:b/>
        </w:rPr>
        <w:t xml:space="preserve">(Diretora </w:t>
      </w:r>
    </w:p>
    <w:p w:rsidR="00730080" w:rsidRPr="00620982" w:rsidRDefault="00730080" w:rsidP="00730080">
      <w:pPr>
        <w:pStyle w:val="SemEspaamento"/>
        <w:spacing w:line="276" w:lineRule="auto"/>
        <w:jc w:val="both"/>
        <w:rPr>
          <w:rFonts w:ascii="Arial" w:hAnsi="Arial" w:cs="Arial"/>
        </w:rPr>
      </w:pPr>
      <w:r w:rsidRPr="00620982">
        <w:rPr>
          <w:rFonts w:ascii="Arial" w:hAnsi="Arial" w:cs="Arial"/>
          <w:b/>
        </w:rPr>
        <w:t>da Atenção Básica: Jucilene Cristina Oliveira Reis- inscrita no CPF: 069.544.416-60)</w:t>
      </w:r>
      <w:r w:rsidRPr="00620982">
        <w:rPr>
          <w:rFonts w:ascii="Arial" w:hAnsi="Arial" w:cs="Arial"/>
        </w:rPr>
        <w:t xml:space="preserve">, ao qual competirá dirimir as dúvidas que surgirem no curso da execução do contrato, e de tudo dará ciência à Administração. </w:t>
      </w:r>
    </w:p>
    <w:p w:rsidR="00730080" w:rsidRPr="00620982" w:rsidRDefault="00730080" w:rsidP="00730080">
      <w:pPr>
        <w:pStyle w:val="SemEspaamento"/>
        <w:spacing w:line="276" w:lineRule="auto"/>
        <w:jc w:val="both"/>
        <w:rPr>
          <w:rFonts w:ascii="Arial" w:hAnsi="Arial" w:cs="Arial"/>
        </w:rPr>
      </w:pPr>
    </w:p>
    <w:p w:rsidR="00730080" w:rsidRPr="00620982" w:rsidRDefault="00730080" w:rsidP="00730080">
      <w:pPr>
        <w:pStyle w:val="SemEspaamento"/>
        <w:numPr>
          <w:ilvl w:val="1"/>
          <w:numId w:val="20"/>
        </w:numPr>
        <w:spacing w:line="276" w:lineRule="auto"/>
        <w:jc w:val="both"/>
        <w:rPr>
          <w:rFonts w:ascii="Arial" w:hAnsi="Arial" w:cs="Arial"/>
        </w:rPr>
      </w:pPr>
      <w:r w:rsidRPr="00620982">
        <w:rPr>
          <w:rFonts w:ascii="Arial" w:hAnsi="Arial" w:cs="Arial"/>
        </w:rPr>
        <w:t>A fiscalização de que trata este item não exclui nem reduz a responsabilidade da fornecedora,</w:t>
      </w:r>
    </w:p>
    <w:p w:rsidR="00730080" w:rsidRPr="00620982" w:rsidRDefault="00730080" w:rsidP="00730080">
      <w:pPr>
        <w:pStyle w:val="SemEspaamento"/>
        <w:spacing w:line="276" w:lineRule="auto"/>
        <w:jc w:val="both"/>
        <w:rPr>
          <w:rFonts w:ascii="Arial" w:hAnsi="Arial" w:cs="Arial"/>
        </w:rPr>
      </w:pPr>
      <w:r w:rsidRPr="00620982">
        <w:rPr>
          <w:rFonts w:ascii="Arial" w:hAnsi="Arial" w:cs="Arial"/>
        </w:rPr>
        <w:t>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730080" w:rsidRPr="00620982" w:rsidRDefault="00730080" w:rsidP="00730080">
      <w:pPr>
        <w:pStyle w:val="PargrafodaLista"/>
        <w:spacing w:line="276" w:lineRule="auto"/>
        <w:ind w:left="360"/>
        <w:jc w:val="both"/>
        <w:rPr>
          <w:rFonts w:ascii="Arial" w:hAnsi="Arial" w:cs="Arial"/>
        </w:rPr>
      </w:pPr>
    </w:p>
    <w:p w:rsidR="00730080" w:rsidRPr="00620982" w:rsidRDefault="00730080" w:rsidP="00730080">
      <w:pPr>
        <w:pStyle w:val="SemEspaamento"/>
        <w:numPr>
          <w:ilvl w:val="1"/>
          <w:numId w:val="20"/>
        </w:numPr>
        <w:spacing w:line="276" w:lineRule="auto"/>
        <w:jc w:val="both"/>
        <w:rPr>
          <w:rFonts w:ascii="Arial" w:hAnsi="Arial" w:cs="Arial"/>
        </w:rPr>
      </w:pPr>
      <w:r w:rsidRPr="00620982">
        <w:rPr>
          <w:rFonts w:ascii="Arial" w:hAnsi="Arial" w:cs="Arial"/>
        </w:rPr>
        <w:t xml:space="preserve">O fiscal do contrato anotará em registro próprio todas as ocorrências relacionadas com a </w:t>
      </w:r>
    </w:p>
    <w:p w:rsidR="00730080" w:rsidRPr="00620982" w:rsidRDefault="00730080" w:rsidP="00730080">
      <w:pPr>
        <w:pStyle w:val="SemEspaamento"/>
        <w:spacing w:line="276" w:lineRule="auto"/>
        <w:jc w:val="both"/>
        <w:rPr>
          <w:rFonts w:ascii="Arial" w:hAnsi="Arial" w:cs="Arial"/>
        </w:rPr>
      </w:pPr>
      <w:r w:rsidRPr="00620982">
        <w:rPr>
          <w:rFonts w:ascii="Arial" w:hAnsi="Arial" w:cs="Arial"/>
        </w:rPr>
        <w:lastRenderedPageBreak/>
        <w:t>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30080" w:rsidRPr="00620982" w:rsidRDefault="00730080" w:rsidP="00730080">
      <w:pPr>
        <w:pStyle w:val="SemEspaamento"/>
        <w:rPr>
          <w:rFonts w:ascii="Arial" w:hAnsi="Arial" w:cs="Arial"/>
        </w:rPr>
      </w:pPr>
    </w:p>
    <w:p w:rsidR="00730080" w:rsidRPr="00620982" w:rsidRDefault="00730080" w:rsidP="00730080">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rPr>
      </w:pPr>
      <w:r w:rsidRPr="00620982">
        <w:rPr>
          <w:rFonts w:ascii="Arial" w:hAnsi="Arial" w:cs="Arial"/>
          <w:b/>
        </w:rPr>
        <w:t>LOCAL DE PRESTAÇÃO DOS SERVIÇOS E FORMA DE PAGAMENTO</w:t>
      </w:r>
    </w:p>
    <w:p w:rsidR="00730080" w:rsidRPr="00620982" w:rsidRDefault="00730080" w:rsidP="00730080">
      <w:pPr>
        <w:pStyle w:val="PargrafodaLista"/>
        <w:spacing w:line="276" w:lineRule="auto"/>
        <w:ind w:left="360"/>
        <w:jc w:val="both"/>
        <w:rPr>
          <w:rFonts w:ascii="Arial" w:hAnsi="Arial" w:cs="Arial"/>
        </w:rPr>
      </w:pPr>
    </w:p>
    <w:p w:rsidR="00730080" w:rsidRPr="00620982" w:rsidRDefault="00730080" w:rsidP="00730080">
      <w:pPr>
        <w:pStyle w:val="SemEspaamento"/>
        <w:numPr>
          <w:ilvl w:val="1"/>
          <w:numId w:val="20"/>
        </w:numPr>
        <w:spacing w:line="276" w:lineRule="auto"/>
        <w:ind w:left="0" w:firstLine="0"/>
        <w:jc w:val="both"/>
        <w:rPr>
          <w:rFonts w:ascii="Arial" w:hAnsi="Arial" w:cs="Arial"/>
        </w:rPr>
      </w:pPr>
      <w:r w:rsidRPr="00620982">
        <w:rPr>
          <w:rFonts w:ascii="Arial" w:hAnsi="Arial" w:cs="Arial"/>
        </w:rPr>
        <w:t>Os procedimentos serão realizados prioritariamente na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730080" w:rsidRPr="00620982" w:rsidRDefault="00730080" w:rsidP="00730080">
      <w:pPr>
        <w:pStyle w:val="SemEspaamento"/>
        <w:spacing w:line="276" w:lineRule="auto"/>
        <w:jc w:val="both"/>
        <w:rPr>
          <w:rFonts w:ascii="Arial" w:hAnsi="Arial" w:cs="Arial"/>
        </w:rPr>
      </w:pPr>
    </w:p>
    <w:p w:rsidR="00730080" w:rsidRPr="00620982" w:rsidRDefault="00730080" w:rsidP="00730080">
      <w:pPr>
        <w:pStyle w:val="SemEspaamento"/>
        <w:numPr>
          <w:ilvl w:val="1"/>
          <w:numId w:val="20"/>
        </w:numPr>
        <w:spacing w:line="276" w:lineRule="auto"/>
        <w:ind w:left="0" w:firstLine="0"/>
        <w:jc w:val="both"/>
        <w:rPr>
          <w:rFonts w:ascii="Arial" w:hAnsi="Arial" w:cs="Arial"/>
        </w:rPr>
      </w:pPr>
      <w:r w:rsidRPr="00620982">
        <w:rPr>
          <w:rFonts w:ascii="Arial" w:hAnsi="Arial" w:cs="Arial"/>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com ênfase nos pacientes diagnosticados com COVID-19.</w:t>
      </w:r>
    </w:p>
    <w:p w:rsidR="00730080" w:rsidRPr="00620982" w:rsidRDefault="00730080" w:rsidP="00730080">
      <w:pPr>
        <w:pStyle w:val="SemEspaamento"/>
        <w:spacing w:line="276" w:lineRule="auto"/>
        <w:jc w:val="both"/>
        <w:rPr>
          <w:rFonts w:ascii="Arial" w:hAnsi="Arial" w:cs="Arial"/>
        </w:rPr>
      </w:pPr>
    </w:p>
    <w:p w:rsidR="00730080" w:rsidRPr="00620982" w:rsidRDefault="00730080" w:rsidP="00730080">
      <w:pPr>
        <w:pStyle w:val="SemEspaamento"/>
        <w:numPr>
          <w:ilvl w:val="1"/>
          <w:numId w:val="20"/>
        </w:numPr>
        <w:spacing w:line="276" w:lineRule="auto"/>
        <w:ind w:left="0" w:firstLine="0"/>
        <w:jc w:val="both"/>
        <w:rPr>
          <w:rFonts w:ascii="Arial" w:hAnsi="Arial" w:cs="Arial"/>
        </w:rPr>
      </w:pPr>
      <w:r w:rsidRPr="00620982">
        <w:rPr>
          <w:rFonts w:ascii="Arial" w:hAnsi="Arial" w:cs="Arial"/>
        </w:rPr>
        <w:t xml:space="preserve">Em caso de interrupção no fornecimento dos serviços, a contratada deverá cientificar a Secretaria Municipal de Saúde, por escrito, com antecedência mínima de 60 (sessenta) dias. </w:t>
      </w:r>
    </w:p>
    <w:p w:rsidR="00730080" w:rsidRPr="00620982" w:rsidRDefault="00730080" w:rsidP="00730080">
      <w:pPr>
        <w:pStyle w:val="SemEspaamento"/>
        <w:spacing w:line="276" w:lineRule="auto"/>
        <w:jc w:val="both"/>
        <w:rPr>
          <w:rFonts w:ascii="Arial" w:hAnsi="Arial" w:cs="Arial"/>
        </w:rPr>
      </w:pPr>
    </w:p>
    <w:p w:rsidR="00730080" w:rsidRPr="00620982" w:rsidRDefault="00730080" w:rsidP="00730080">
      <w:pPr>
        <w:spacing w:line="276" w:lineRule="auto"/>
        <w:jc w:val="both"/>
        <w:rPr>
          <w:rFonts w:ascii="Arial" w:hAnsi="Arial" w:cs="Arial"/>
        </w:rPr>
      </w:pPr>
      <w:r w:rsidRPr="00620982">
        <w:rPr>
          <w:rFonts w:ascii="Arial" w:hAnsi="Arial" w:cs="Arial"/>
        </w:rPr>
        <w:t>7.4</w:t>
      </w:r>
      <w:r w:rsidRPr="00620982">
        <w:rPr>
          <w:rFonts w:ascii="Arial" w:hAnsi="Arial" w:cs="Arial"/>
          <w:b/>
        </w:rPr>
        <w:t xml:space="preserve"> FORMA DE CONTROLE DO PAGAMENTO: </w:t>
      </w:r>
      <w:r w:rsidRPr="00620982">
        <w:rPr>
          <w:rFonts w:ascii="Arial" w:hAnsi="Arial" w:cs="Arial"/>
        </w:rPr>
        <w:t>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730080" w:rsidRPr="00620982" w:rsidRDefault="00730080" w:rsidP="00730080">
      <w:pPr>
        <w:spacing w:line="276" w:lineRule="auto"/>
        <w:jc w:val="both"/>
        <w:rPr>
          <w:rFonts w:ascii="Arial" w:hAnsi="Arial" w:cs="Arial"/>
        </w:rPr>
      </w:pPr>
      <w:r w:rsidRPr="00620982">
        <w:rPr>
          <w:rFonts w:ascii="Arial" w:hAnsi="Arial" w:cs="Arial"/>
          <w:b/>
          <w:bCs/>
        </w:rPr>
        <w:t xml:space="preserve">7.5 </w:t>
      </w:r>
      <w:r w:rsidRPr="00620982">
        <w:rPr>
          <w:rFonts w:ascii="Arial" w:hAnsi="Arial" w:cs="Arial"/>
          <w:bCs/>
        </w:rPr>
        <w:t xml:space="preserve"> Deve ser emitida </w:t>
      </w:r>
      <w:r w:rsidRPr="00620982">
        <w:rPr>
          <w:rFonts w:ascii="Arial" w:hAnsi="Arial" w:cs="Arial"/>
        </w:rPr>
        <w:t>Nota Fiscal, contendo preço unitário e total dos pedidos, deverá ser feita em sua totalidade pela empresa fornecedora.</w:t>
      </w:r>
    </w:p>
    <w:p w:rsidR="00730080" w:rsidRPr="00620982" w:rsidRDefault="00730080" w:rsidP="00730080">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after="160" w:line="259" w:lineRule="auto"/>
        <w:jc w:val="both"/>
        <w:rPr>
          <w:rFonts w:ascii="Arial" w:hAnsi="Arial" w:cs="Arial"/>
          <w:b/>
          <w:color w:val="000000"/>
          <w:spacing w:val="4"/>
          <w:lang w:val="pt-PT"/>
        </w:rPr>
      </w:pPr>
      <w:r w:rsidRPr="00620982">
        <w:rPr>
          <w:rFonts w:ascii="Arial" w:hAnsi="Arial" w:cs="Arial"/>
          <w:b/>
          <w:color w:val="000000"/>
          <w:spacing w:val="4"/>
          <w:lang w:val="pt-PT"/>
        </w:rPr>
        <w:t>DOS COMPROMISSOS DA CONTRATADA</w:t>
      </w:r>
    </w:p>
    <w:p w:rsidR="00730080" w:rsidRPr="00620982" w:rsidRDefault="00730080" w:rsidP="00730080">
      <w:pPr>
        <w:pStyle w:val="PargrafodaLista"/>
        <w:spacing w:line="276" w:lineRule="auto"/>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tratamento dispensado aos pacientes encaminhados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 xml:space="preserve"> A contratada ficará incumbida de realizar os serviços e procedimentos descritos nesse Termo de Referencia, para a rede ambulatorial do SUS em Janaúba/MG, observando as normatizações e orientações previstas no Manual de Normas da FUNED;</w:t>
      </w:r>
    </w:p>
    <w:p w:rsidR="00730080" w:rsidRPr="00620982" w:rsidRDefault="00730080" w:rsidP="00730080">
      <w:pPr>
        <w:pStyle w:val="PargrafodaLista"/>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Disponibilizar os tubos de coleta de sangue a vácuo para a coleta de material biológico e demais materiais de laboratório que se fizerem necessário;</w:t>
      </w:r>
    </w:p>
    <w:p w:rsidR="00730080" w:rsidRPr="00620982" w:rsidRDefault="00730080" w:rsidP="00730080">
      <w:pPr>
        <w:pStyle w:val="PargrafodaLista"/>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Os usuários serão instruídos pela Secretaria Municipal de Saúde a respeitar o Regulamento Interno das Clínicas, naquilo que não colida com o Contrato;</w:t>
      </w:r>
    </w:p>
    <w:p w:rsidR="00730080" w:rsidRPr="00620982" w:rsidRDefault="00730080" w:rsidP="00730080">
      <w:pPr>
        <w:spacing w:line="276" w:lineRule="auto"/>
        <w:jc w:val="both"/>
        <w:rPr>
          <w:rFonts w:ascii="Arial" w:hAnsi="Arial" w:cs="Arial"/>
        </w:rPr>
      </w:pPr>
    </w:p>
    <w:p w:rsidR="00730080" w:rsidRPr="00620982" w:rsidRDefault="00730080" w:rsidP="00730080">
      <w:pPr>
        <w:pStyle w:val="PargrafodaLista"/>
        <w:numPr>
          <w:ilvl w:val="1"/>
          <w:numId w:val="21"/>
        </w:numPr>
        <w:spacing w:line="276" w:lineRule="auto"/>
        <w:jc w:val="both"/>
        <w:rPr>
          <w:rFonts w:ascii="Arial" w:hAnsi="Arial" w:cs="Arial"/>
        </w:rPr>
      </w:pPr>
      <w:r w:rsidRPr="00620982">
        <w:rPr>
          <w:rFonts w:ascii="Arial" w:hAnsi="Arial" w:cs="Arial"/>
        </w:rPr>
        <w:t>Emitir os relatórios de produção conforme estabelecido no item anterior;</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proponente é responsável pelos encargos trabalhistas, previdenciários, fiscais e comerciais resultantes da execução do contrato;</w:t>
      </w:r>
    </w:p>
    <w:p w:rsidR="00730080" w:rsidRPr="00620982" w:rsidRDefault="00730080" w:rsidP="00730080">
      <w:pPr>
        <w:pStyle w:val="PargrafodaLista"/>
        <w:ind w:left="0"/>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730080" w:rsidRPr="00620982" w:rsidRDefault="00730080" w:rsidP="00730080">
      <w:pPr>
        <w:spacing w:line="276" w:lineRule="auto"/>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ISSQN oriundo da prestação de serviços, quando devido à municipalidade, será cobrado por ocasião do pagamento à contratada;</w:t>
      </w:r>
    </w:p>
    <w:p w:rsidR="00730080" w:rsidRPr="00620982" w:rsidRDefault="00730080" w:rsidP="00730080">
      <w:pPr>
        <w:spacing w:line="276" w:lineRule="auto"/>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O prestador é obrigado a refazer, às suas expensas, no total ou em parte, os serviços que se verificarem vícios, defeitos ou incorreções, resultantes da má execução do contrato, decorrentes de sua culpa ou dolo, sem prejuízo da indenização cabível à Prefeitura Municipal;</w:t>
      </w:r>
    </w:p>
    <w:p w:rsidR="00730080" w:rsidRPr="00620982" w:rsidRDefault="00730080" w:rsidP="00730080">
      <w:pPr>
        <w:pStyle w:val="PargrafodaLista"/>
        <w:rPr>
          <w:rFonts w:ascii="Arial" w:hAnsi="Arial" w:cs="Arial"/>
        </w:rPr>
      </w:pPr>
    </w:p>
    <w:p w:rsidR="00730080" w:rsidRPr="00620982" w:rsidRDefault="00730080" w:rsidP="00730080">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E6E6E6"/>
        <w:spacing w:after="160" w:line="23" w:lineRule="atLeast"/>
        <w:jc w:val="both"/>
        <w:rPr>
          <w:rFonts w:ascii="Arial" w:hAnsi="Arial" w:cs="Arial"/>
          <w:b/>
          <w:color w:val="000000"/>
          <w:spacing w:val="4"/>
          <w:lang w:val="pt-PT"/>
        </w:rPr>
      </w:pPr>
      <w:r w:rsidRPr="00620982">
        <w:rPr>
          <w:rFonts w:ascii="Arial" w:hAnsi="Arial" w:cs="Arial"/>
          <w:b/>
          <w:color w:val="000000"/>
          <w:spacing w:val="4"/>
          <w:lang w:val="pt-PT"/>
        </w:rPr>
        <w:t>COMPROMISSOS DA CONTRATANTE</w:t>
      </w:r>
    </w:p>
    <w:p w:rsidR="00730080" w:rsidRPr="00620982" w:rsidRDefault="00730080" w:rsidP="00730080">
      <w:pPr>
        <w:jc w:val="both"/>
        <w:rPr>
          <w:rFonts w:ascii="Arial" w:hAnsi="Arial" w:cs="Arial"/>
          <w:b/>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Acompanhar a execução dos procedimentos.</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 xml:space="preserve"> Realizar a coleta de material biológico, referente aos seguintes exames de analises clínicas e enviar o material coletado, devidamente acondicionado para a sede da contratada, conforme Manual de Normas da FUNED.</w:t>
      </w:r>
    </w:p>
    <w:p w:rsidR="00730080" w:rsidRPr="00620982" w:rsidRDefault="00730080" w:rsidP="00730080">
      <w:pPr>
        <w:pStyle w:val="PargrafodaLista"/>
        <w:spacing w:line="276" w:lineRule="auto"/>
        <w:ind w:left="502"/>
        <w:jc w:val="both"/>
        <w:rPr>
          <w:rFonts w:ascii="Arial" w:hAnsi="Arial" w:cs="Arial"/>
        </w:rPr>
      </w:pPr>
    </w:p>
    <w:p w:rsidR="00730080" w:rsidRPr="00620982" w:rsidRDefault="00730080" w:rsidP="00730080">
      <w:pPr>
        <w:pStyle w:val="PargrafodaLista"/>
        <w:numPr>
          <w:ilvl w:val="1"/>
          <w:numId w:val="21"/>
        </w:numPr>
        <w:spacing w:line="276" w:lineRule="auto"/>
        <w:jc w:val="both"/>
        <w:rPr>
          <w:rFonts w:ascii="Arial" w:hAnsi="Arial" w:cs="Arial"/>
        </w:rPr>
      </w:pPr>
      <w:r w:rsidRPr="00620982">
        <w:rPr>
          <w:rFonts w:ascii="Arial" w:hAnsi="Arial" w:cs="Arial"/>
        </w:rPr>
        <w:t>Disponibilizar os modelos de formulários para controle dos atendimentos.</w:t>
      </w:r>
    </w:p>
    <w:p w:rsidR="00730080" w:rsidRPr="00620982" w:rsidRDefault="00730080" w:rsidP="00730080">
      <w:pPr>
        <w:pStyle w:val="PargrafodaLista"/>
        <w:spacing w:line="276" w:lineRule="auto"/>
        <w:ind w:left="502"/>
        <w:jc w:val="both"/>
        <w:rPr>
          <w:rFonts w:ascii="Arial" w:hAnsi="Arial" w:cs="Arial"/>
        </w:rPr>
      </w:pPr>
    </w:p>
    <w:p w:rsidR="00730080" w:rsidRPr="00620982" w:rsidRDefault="00730080" w:rsidP="00730080">
      <w:pPr>
        <w:pStyle w:val="PargrafodaLista"/>
        <w:numPr>
          <w:ilvl w:val="1"/>
          <w:numId w:val="21"/>
        </w:numPr>
        <w:spacing w:line="276" w:lineRule="auto"/>
        <w:jc w:val="both"/>
        <w:rPr>
          <w:rFonts w:ascii="Arial" w:hAnsi="Arial" w:cs="Arial"/>
        </w:rPr>
      </w:pPr>
      <w:r w:rsidRPr="00620982">
        <w:rPr>
          <w:rFonts w:ascii="Arial" w:hAnsi="Arial" w:cs="Arial"/>
        </w:rPr>
        <w:t>Realizar visita técnica às instalações pela auditoria do município.</w:t>
      </w:r>
    </w:p>
    <w:p w:rsidR="00730080" w:rsidRPr="00620982" w:rsidRDefault="00730080" w:rsidP="00730080">
      <w:pPr>
        <w:pStyle w:val="PargrafodaLista"/>
        <w:spacing w:line="276" w:lineRule="auto"/>
        <w:ind w:left="502"/>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 xml:space="preserve">Realizar o pagamento referente ao serviço prestado após apuração da produção apresentada. </w:t>
      </w:r>
    </w:p>
    <w:p w:rsidR="00730080" w:rsidRPr="00620982" w:rsidRDefault="00730080" w:rsidP="00730080">
      <w:pPr>
        <w:jc w:val="both"/>
        <w:rPr>
          <w:rFonts w:ascii="Arial" w:hAnsi="Arial" w:cs="Arial"/>
        </w:rPr>
      </w:pPr>
    </w:p>
    <w:p w:rsidR="00730080" w:rsidRPr="00620982" w:rsidRDefault="00730080" w:rsidP="00730080">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E6E6E6"/>
        <w:spacing w:after="160" w:line="23" w:lineRule="atLeast"/>
        <w:jc w:val="both"/>
        <w:rPr>
          <w:rFonts w:ascii="Arial" w:hAnsi="Arial" w:cs="Arial"/>
          <w:b/>
          <w:color w:val="000000"/>
          <w:spacing w:val="4"/>
          <w:lang w:val="pt-PT"/>
        </w:rPr>
      </w:pPr>
      <w:r w:rsidRPr="00620982">
        <w:rPr>
          <w:rFonts w:ascii="Arial" w:hAnsi="Arial" w:cs="Arial"/>
          <w:b/>
          <w:color w:val="000000"/>
          <w:spacing w:val="4"/>
          <w:lang w:val="pt-PT"/>
        </w:rPr>
        <w:t>DOCUMENTOS TÉCNICOS</w:t>
      </w:r>
    </w:p>
    <w:p w:rsidR="00730080" w:rsidRPr="00620982" w:rsidRDefault="00730080" w:rsidP="00730080">
      <w:pPr>
        <w:pStyle w:val="PargrafodaLista"/>
        <w:spacing w:line="276" w:lineRule="auto"/>
        <w:ind w:left="502"/>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Comprovante de Alvará de funcionamento da empresa;</w:t>
      </w:r>
    </w:p>
    <w:p w:rsidR="00730080" w:rsidRPr="00620982" w:rsidRDefault="00730080" w:rsidP="00730080">
      <w:pPr>
        <w:pStyle w:val="PargrafodaLista"/>
        <w:spacing w:line="276" w:lineRule="auto"/>
        <w:ind w:left="0"/>
        <w:jc w:val="both"/>
        <w:rPr>
          <w:rFonts w:ascii="Arial" w:hAnsi="Arial" w:cs="Arial"/>
        </w:rPr>
      </w:pPr>
    </w:p>
    <w:p w:rsidR="00730080" w:rsidRPr="00620982" w:rsidRDefault="00730080" w:rsidP="00730080">
      <w:pPr>
        <w:pStyle w:val="PargrafodaLista"/>
        <w:numPr>
          <w:ilvl w:val="1"/>
          <w:numId w:val="21"/>
        </w:numPr>
        <w:spacing w:line="276" w:lineRule="auto"/>
        <w:ind w:left="0" w:firstLine="0"/>
        <w:jc w:val="both"/>
        <w:rPr>
          <w:rFonts w:ascii="Arial" w:hAnsi="Arial" w:cs="Arial"/>
        </w:rPr>
      </w:pPr>
      <w:r w:rsidRPr="00620982">
        <w:rPr>
          <w:rFonts w:ascii="Arial" w:hAnsi="Arial" w:cs="Arial"/>
        </w:rPr>
        <w:t>Alvará emitido pela Vigilância Sanitária do local onde ocorrerá a prestação do serviço,</w:t>
      </w:r>
    </w:p>
    <w:p w:rsidR="00730080" w:rsidRPr="00620982" w:rsidRDefault="00730080" w:rsidP="00730080">
      <w:pPr>
        <w:spacing w:line="276" w:lineRule="auto"/>
        <w:jc w:val="both"/>
        <w:rPr>
          <w:rFonts w:ascii="Arial" w:hAnsi="Arial" w:cs="Arial"/>
        </w:rPr>
      </w:pPr>
      <w:r w:rsidRPr="00620982">
        <w:rPr>
          <w:rFonts w:ascii="Arial" w:hAnsi="Arial" w:cs="Arial"/>
        </w:rPr>
        <w:t>devidamente acompanhada das taxas de renovação;</w:t>
      </w:r>
    </w:p>
    <w:p w:rsidR="00730080" w:rsidRPr="00620982" w:rsidRDefault="00730080" w:rsidP="00730080">
      <w:pPr>
        <w:spacing w:line="276" w:lineRule="auto"/>
        <w:jc w:val="both"/>
        <w:rPr>
          <w:rFonts w:ascii="Arial" w:hAnsi="Arial" w:cs="Arial"/>
        </w:rPr>
      </w:pPr>
    </w:p>
    <w:p w:rsidR="00730080" w:rsidRPr="00620982" w:rsidRDefault="00730080" w:rsidP="00730080">
      <w:pPr>
        <w:pStyle w:val="PargrafodaLista"/>
        <w:numPr>
          <w:ilvl w:val="1"/>
          <w:numId w:val="21"/>
        </w:numPr>
        <w:autoSpaceDE w:val="0"/>
        <w:autoSpaceDN w:val="0"/>
        <w:adjustRightInd w:val="0"/>
        <w:spacing w:line="276" w:lineRule="auto"/>
        <w:ind w:left="0" w:firstLine="0"/>
        <w:jc w:val="both"/>
        <w:rPr>
          <w:rFonts w:ascii="Arial" w:hAnsi="Arial" w:cs="Arial"/>
        </w:rPr>
      </w:pPr>
      <w:r w:rsidRPr="00620982">
        <w:rPr>
          <w:rFonts w:ascii="Arial" w:hAnsi="Arial" w:cs="Arial"/>
        </w:rPr>
        <w:t>Comprovação de que o licitante possui em seu quadro social e/ou funcional um responsável técnico de nível superior, devidamente reconhecido pela entidade competente;</w:t>
      </w:r>
    </w:p>
    <w:p w:rsidR="00730080" w:rsidRPr="00620982" w:rsidRDefault="00730080" w:rsidP="00730080">
      <w:pPr>
        <w:autoSpaceDE w:val="0"/>
        <w:autoSpaceDN w:val="0"/>
        <w:adjustRightInd w:val="0"/>
        <w:spacing w:line="276" w:lineRule="auto"/>
        <w:jc w:val="both"/>
        <w:rPr>
          <w:rFonts w:ascii="Arial" w:hAnsi="Arial" w:cs="Arial"/>
        </w:rPr>
      </w:pPr>
    </w:p>
    <w:p w:rsidR="00730080" w:rsidRPr="00620982" w:rsidRDefault="00730080" w:rsidP="00730080">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E6E6E6"/>
        <w:spacing w:after="160" w:line="23" w:lineRule="atLeast"/>
        <w:jc w:val="both"/>
        <w:rPr>
          <w:rFonts w:ascii="Arial" w:hAnsi="Arial" w:cs="Arial"/>
          <w:b/>
          <w:color w:val="000000"/>
          <w:spacing w:val="4"/>
          <w:lang w:val="pt-PT"/>
        </w:rPr>
      </w:pPr>
      <w:r w:rsidRPr="00620982">
        <w:rPr>
          <w:rFonts w:ascii="Arial" w:hAnsi="Arial" w:cs="Arial"/>
          <w:b/>
          <w:color w:val="000000"/>
          <w:spacing w:val="4"/>
          <w:lang w:val="pt-PT"/>
        </w:rPr>
        <w:t>DAS INFRAÇÕES E SANÇÕES ADMINISTRATIVAS</w:t>
      </w:r>
    </w:p>
    <w:p w:rsidR="00730080" w:rsidRPr="00620982" w:rsidRDefault="00730080" w:rsidP="00730080">
      <w:pPr>
        <w:jc w:val="both"/>
        <w:rPr>
          <w:rFonts w:ascii="Arial" w:hAnsi="Arial" w:cs="Arial"/>
          <w:b/>
        </w:rPr>
      </w:pPr>
    </w:p>
    <w:p w:rsidR="00730080" w:rsidRPr="00620982" w:rsidRDefault="00730080" w:rsidP="00730080">
      <w:pPr>
        <w:pStyle w:val="PargrafodaLista"/>
        <w:numPr>
          <w:ilvl w:val="1"/>
          <w:numId w:val="21"/>
        </w:numPr>
        <w:autoSpaceDE w:val="0"/>
        <w:autoSpaceDN w:val="0"/>
        <w:adjustRightInd w:val="0"/>
        <w:spacing w:line="276" w:lineRule="auto"/>
        <w:ind w:left="0" w:firstLine="0"/>
        <w:jc w:val="both"/>
        <w:rPr>
          <w:rFonts w:ascii="Arial" w:hAnsi="Arial" w:cs="Arial"/>
        </w:rPr>
      </w:pPr>
      <w:r w:rsidRPr="00620982">
        <w:rPr>
          <w:rFonts w:ascii="Arial" w:hAnsi="Arial" w:cs="Arial"/>
        </w:rPr>
        <w:lastRenderedPageBreak/>
        <w:t>As sanções administrativas serão impostas fundamentadamente nos termos da Lei nº 10.520/02 e Lei 8.666/93.</w:t>
      </w:r>
    </w:p>
    <w:p w:rsidR="00730080" w:rsidRPr="00620982" w:rsidRDefault="00730080" w:rsidP="00730080">
      <w:pPr>
        <w:autoSpaceDE w:val="0"/>
        <w:autoSpaceDN w:val="0"/>
        <w:adjustRightInd w:val="0"/>
        <w:spacing w:line="276" w:lineRule="auto"/>
        <w:jc w:val="both"/>
        <w:rPr>
          <w:rFonts w:ascii="Arial" w:hAnsi="Arial" w:cs="Arial"/>
        </w:rPr>
      </w:pPr>
    </w:p>
    <w:p w:rsidR="00730080" w:rsidRPr="00620982" w:rsidRDefault="00730080" w:rsidP="00730080">
      <w:pPr>
        <w:pStyle w:val="PargrafodaLista"/>
        <w:numPr>
          <w:ilvl w:val="1"/>
          <w:numId w:val="21"/>
        </w:numPr>
        <w:autoSpaceDE w:val="0"/>
        <w:autoSpaceDN w:val="0"/>
        <w:adjustRightInd w:val="0"/>
        <w:spacing w:line="276" w:lineRule="auto"/>
        <w:ind w:left="0" w:firstLine="0"/>
        <w:jc w:val="both"/>
        <w:rPr>
          <w:rFonts w:ascii="Arial" w:hAnsi="Arial" w:cs="Arial"/>
        </w:rPr>
      </w:pPr>
      <w:r w:rsidRPr="00620982">
        <w:rPr>
          <w:rFonts w:ascii="Arial" w:hAnsi="Arial" w:cs="Arial"/>
        </w:rPr>
        <w:t xml:space="preserve">Independente da sanção aplicada, a inexecução total ou parcial do contrato poderá ensejar, </w:t>
      </w:r>
    </w:p>
    <w:p w:rsidR="00730080" w:rsidRPr="00620982" w:rsidRDefault="00730080" w:rsidP="00730080">
      <w:pPr>
        <w:autoSpaceDE w:val="0"/>
        <w:autoSpaceDN w:val="0"/>
        <w:adjustRightInd w:val="0"/>
        <w:spacing w:line="276" w:lineRule="auto"/>
        <w:jc w:val="both"/>
        <w:rPr>
          <w:rFonts w:ascii="Arial" w:hAnsi="Arial" w:cs="Arial"/>
        </w:rPr>
      </w:pPr>
      <w:r w:rsidRPr="00620982">
        <w:rPr>
          <w:rFonts w:ascii="Arial" w:hAnsi="Arial" w:cs="Arial"/>
        </w:rPr>
        <w:t>ainda, a rescisão contratual, nos termos previstos na Lei nº. 8.666/93, bem como a incidência das consequências legais cabíveis, inclusive indenização por perdas e danos eventualmente causados à CONTRATANTE.</w:t>
      </w:r>
    </w:p>
    <w:p w:rsidR="00730080" w:rsidRPr="00620982" w:rsidRDefault="00730080" w:rsidP="00730080">
      <w:pPr>
        <w:autoSpaceDE w:val="0"/>
        <w:autoSpaceDN w:val="0"/>
        <w:adjustRightInd w:val="0"/>
        <w:spacing w:line="276" w:lineRule="auto"/>
        <w:jc w:val="both"/>
        <w:rPr>
          <w:rFonts w:ascii="Arial" w:hAnsi="Arial" w:cs="Arial"/>
        </w:rPr>
      </w:pPr>
    </w:p>
    <w:p w:rsidR="00730080" w:rsidRPr="00620982" w:rsidRDefault="00730080" w:rsidP="00730080">
      <w:pPr>
        <w:pStyle w:val="PargrafodaLista"/>
        <w:numPr>
          <w:ilvl w:val="1"/>
          <w:numId w:val="21"/>
        </w:numPr>
        <w:autoSpaceDE w:val="0"/>
        <w:autoSpaceDN w:val="0"/>
        <w:adjustRightInd w:val="0"/>
        <w:spacing w:line="276" w:lineRule="auto"/>
        <w:ind w:left="0" w:firstLine="0"/>
        <w:jc w:val="both"/>
        <w:rPr>
          <w:rFonts w:ascii="Arial" w:hAnsi="Arial" w:cs="Arial"/>
        </w:rPr>
      </w:pPr>
      <w:r w:rsidRPr="00620982">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730080" w:rsidRPr="00620982" w:rsidRDefault="00730080" w:rsidP="00730080">
      <w:pPr>
        <w:pStyle w:val="PargrafodaLista"/>
        <w:autoSpaceDE w:val="0"/>
        <w:autoSpaceDN w:val="0"/>
        <w:adjustRightInd w:val="0"/>
        <w:spacing w:line="276" w:lineRule="auto"/>
        <w:ind w:left="0"/>
        <w:jc w:val="both"/>
        <w:rPr>
          <w:rFonts w:ascii="Arial" w:hAnsi="Arial" w:cs="Arial"/>
        </w:rPr>
      </w:pPr>
    </w:p>
    <w:p w:rsidR="00730080" w:rsidRPr="00620982" w:rsidRDefault="00730080" w:rsidP="00730080">
      <w:pPr>
        <w:jc w:val="both"/>
        <w:rPr>
          <w:rFonts w:ascii="Arial" w:hAnsi="Arial" w:cs="Arial"/>
          <w:b/>
        </w:rPr>
      </w:pPr>
    </w:p>
    <w:p w:rsidR="00730080" w:rsidRPr="00620982" w:rsidRDefault="00730080" w:rsidP="00730080">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E6E6E6"/>
        <w:spacing w:after="160" w:line="23" w:lineRule="atLeast"/>
        <w:jc w:val="both"/>
        <w:rPr>
          <w:rFonts w:ascii="Arial" w:hAnsi="Arial" w:cs="Arial"/>
          <w:b/>
        </w:rPr>
      </w:pPr>
      <w:r w:rsidRPr="00620982">
        <w:rPr>
          <w:rFonts w:ascii="Arial" w:hAnsi="Arial" w:cs="Arial"/>
          <w:b/>
        </w:rPr>
        <w:t>DA DOTAÇÃO ORCAMENTÁRIA</w:t>
      </w:r>
    </w:p>
    <w:p w:rsidR="00730080" w:rsidRPr="00620982" w:rsidRDefault="00730080" w:rsidP="00730080">
      <w:pPr>
        <w:pStyle w:val="PargrafodaLista"/>
        <w:spacing w:line="276" w:lineRule="auto"/>
        <w:ind w:left="502"/>
        <w:jc w:val="both"/>
        <w:rPr>
          <w:rFonts w:ascii="Arial" w:hAnsi="Arial" w:cs="Arial"/>
          <w:b/>
        </w:rPr>
      </w:pPr>
    </w:p>
    <w:p w:rsidR="00730080" w:rsidRPr="00620982" w:rsidRDefault="00730080" w:rsidP="00730080">
      <w:pPr>
        <w:pStyle w:val="PargrafodaLista"/>
        <w:numPr>
          <w:ilvl w:val="1"/>
          <w:numId w:val="21"/>
        </w:numPr>
        <w:spacing w:after="160" w:line="276" w:lineRule="auto"/>
        <w:jc w:val="both"/>
        <w:rPr>
          <w:rFonts w:ascii="Arial" w:hAnsi="Arial" w:cs="Arial"/>
        </w:rPr>
      </w:pPr>
      <w:r w:rsidRPr="00620982">
        <w:rPr>
          <w:rFonts w:ascii="Arial" w:hAnsi="Arial" w:cs="Arial"/>
        </w:rPr>
        <w:t>As despesas dessa contratação serão suportadas pelas seguintes dotações orçamentárias:</w:t>
      </w:r>
    </w:p>
    <w:p w:rsidR="00730080" w:rsidRPr="00620982" w:rsidRDefault="00730080" w:rsidP="00730080">
      <w:pPr>
        <w:pStyle w:val="SemEspaamento"/>
        <w:rPr>
          <w:rFonts w:ascii="Arial" w:hAnsi="Arial" w:cs="Arial"/>
          <w:b/>
        </w:rPr>
      </w:pPr>
      <w:r w:rsidRPr="00620982">
        <w:rPr>
          <w:rFonts w:ascii="Arial" w:hAnsi="Arial" w:cs="Arial"/>
          <w:b/>
        </w:rPr>
        <w:t>09.01.01.010.122.0023.2237.33903900      Ficha: 1630      Fonte: 154</w:t>
      </w:r>
    </w:p>
    <w:p w:rsidR="00D355FC" w:rsidRPr="00E15512" w:rsidRDefault="00D355FC" w:rsidP="00D355FC">
      <w:pPr>
        <w:snapToGrid w:val="0"/>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Pr="00427773" w:rsidRDefault="00730080"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u</w:t>
      </w:r>
      <w:r w:rsidR="00E56CB3">
        <w:rPr>
          <w:rFonts w:ascii="Arial" w:hAnsi="Arial" w:cs="Arial"/>
          <w:color w:val="000000"/>
        </w:rPr>
        <w:t xml:space="preserve">mento particular, de um lado  o município </w:t>
      </w:r>
      <w:r w:rsidRPr="00427773">
        <w:rPr>
          <w:rFonts w:ascii="Arial" w:hAnsi="Arial" w:cs="Arial"/>
          <w:color w:val="000000"/>
        </w:rPr>
        <w:t>de Janaúba, com sede à Praça Dr. Rockert,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w:t>
      </w:r>
      <w:r w:rsidR="002A211B" w:rsidRPr="00427773">
        <w:rPr>
          <w:rFonts w:ascii="Arial" w:hAnsi="Arial" w:cs="Arial"/>
          <w:color w:val="000000"/>
        </w:rPr>
        <w:t>Endereço: doravante</w:t>
      </w:r>
      <w:r w:rsidRPr="00427773">
        <w:rPr>
          <w:rFonts w:ascii="Arial" w:hAnsi="Arial" w:cs="Arial"/>
          <w:color w:val="000000"/>
        </w:rPr>
        <w:t xml:space="preserv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r w:rsidR="002A211B" w:rsidRPr="00427773">
        <w:rPr>
          <w:rFonts w:ascii="Arial" w:hAnsi="Arial" w:cs="Arial"/>
          <w:color w:val="000000"/>
        </w:rPr>
        <w:t>consequências</w:t>
      </w:r>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3E2155">
        <w:rPr>
          <w:rFonts w:ascii="Arial" w:hAnsi="Arial" w:cs="Arial"/>
          <w:b/>
        </w:rPr>
        <w:t>00005</w:t>
      </w:r>
      <w:r w:rsidR="00D355FC">
        <w:rPr>
          <w:rFonts w:ascii="Arial" w:hAnsi="Arial" w:cs="Arial"/>
          <w:b/>
        </w:rPr>
        <w:t>/2020</w:t>
      </w:r>
      <w:r w:rsidRPr="00427773">
        <w:rPr>
          <w:rFonts w:ascii="Arial" w:hAnsi="Arial" w:cs="Arial"/>
        </w:rPr>
        <w:t>.</w:t>
      </w:r>
    </w:p>
    <w:p w:rsidR="002E5223" w:rsidRPr="00427773" w:rsidRDefault="002E5223" w:rsidP="00D355FC">
      <w:pPr>
        <w:pStyle w:val="Corpodetexto2"/>
        <w:spacing w:line="240" w:lineRule="auto"/>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esta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r w:rsidR="002A211B" w:rsidRPr="00427773">
        <w:rPr>
          <w:rFonts w:ascii="Arial" w:hAnsi="Arial" w:cs="Arial"/>
          <w:color w:val="000000"/>
        </w:rPr>
        <w:t>corresponsabilidade</w:t>
      </w:r>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r w:rsidR="002A211B" w:rsidRPr="00427773">
        <w:rPr>
          <w:rFonts w:ascii="Arial" w:hAnsi="Arial" w:cs="Arial"/>
        </w:rPr>
        <w:t>subsequentes</w:t>
      </w:r>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E56CB3" w:rsidRPr="00E15512" w:rsidRDefault="00E56CB3" w:rsidP="00E56CB3">
      <w:pPr>
        <w:spacing w:line="276" w:lineRule="auto"/>
        <w:jc w:val="both"/>
        <w:rPr>
          <w:rFonts w:ascii="Arial" w:hAnsi="Arial" w:cs="Arial"/>
          <w:b/>
        </w:rPr>
      </w:pPr>
      <w:r w:rsidRPr="00E15512">
        <w:rPr>
          <w:rFonts w:ascii="Arial" w:hAnsi="Arial" w:cs="Arial"/>
          <w:b/>
        </w:rPr>
        <w:t>09.01.01.10.302.0024.2098.33903900 Ficha 1146 Fonte 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A211B" w:rsidP="002E5223">
      <w:pPr>
        <w:jc w:val="center"/>
        <w:rPr>
          <w:rFonts w:ascii="Arial" w:hAnsi="Arial" w:cs="Arial"/>
          <w:color w:val="000000"/>
        </w:rPr>
      </w:pPr>
      <w:r>
        <w:rPr>
          <w:rFonts w:ascii="Arial" w:hAnsi="Arial" w:cs="Arial"/>
          <w:color w:val="000000"/>
        </w:rPr>
        <w:t>Janaúba-MG,____/____/ 2020</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Carlos Isaildon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r w:rsidRPr="00427773">
              <w:rPr>
                <w:rFonts w:ascii="Arial" w:hAnsi="Arial" w:cs="Arial"/>
                <w:b/>
                <w:color w:val="000000"/>
              </w:rPr>
              <w:t>Credenciante</w:t>
            </w:r>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464206" w:rsidRPr="00427773" w:rsidRDefault="00464206"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3E2155" w:rsidP="00427773">
      <w:pPr>
        <w:pStyle w:val="Corpodetexto"/>
        <w:jc w:val="both"/>
        <w:rPr>
          <w:rFonts w:ascii="Arial" w:hAnsi="Arial" w:cs="Arial"/>
          <w:color w:val="000000"/>
        </w:rPr>
      </w:pPr>
      <w:r w:rsidRPr="00620982">
        <w:rPr>
          <w:rFonts w:ascii="Arial" w:hAnsi="Arial" w:cs="Arial"/>
        </w:rPr>
        <w:t>Processo Licitatório para contratação de empresas prestadoras de serviços de exames laboratoriais de análises clínicas, e exames de imagem, procedimentos necessários para diagnóstico da covid-19 e monitoramento do quadro clínico de pacientes acometidos por essa enfermidade no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490"/>
        <w:gridCol w:w="3969"/>
        <w:gridCol w:w="567"/>
        <w:gridCol w:w="851"/>
        <w:gridCol w:w="850"/>
        <w:gridCol w:w="1276"/>
      </w:tblGrid>
      <w:tr w:rsidR="00730080" w:rsidRPr="00620982" w:rsidTr="00730080">
        <w:trPr>
          <w:trHeight w:val="326"/>
        </w:trPr>
        <w:tc>
          <w:tcPr>
            <w:tcW w:w="428" w:type="dxa"/>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N°</w:t>
            </w:r>
          </w:p>
        </w:tc>
        <w:tc>
          <w:tcPr>
            <w:tcW w:w="1490" w:type="dxa"/>
            <w:shd w:val="clear" w:color="auto" w:fill="auto"/>
            <w:noWrap/>
            <w:vAlign w:val="center"/>
            <w:hideMark/>
          </w:tcPr>
          <w:p w:rsidR="00730080" w:rsidRPr="00620982" w:rsidRDefault="00730080" w:rsidP="00730080">
            <w:pPr>
              <w:pStyle w:val="SemEspaamento"/>
              <w:jc w:val="center"/>
              <w:rPr>
                <w:rFonts w:ascii="Arial" w:hAnsi="Arial" w:cs="Arial"/>
                <w:b/>
              </w:rPr>
            </w:pPr>
            <w:r w:rsidRPr="00620982">
              <w:rPr>
                <w:rFonts w:ascii="Arial" w:hAnsi="Arial" w:cs="Arial"/>
                <w:b/>
                <w:bCs/>
              </w:rPr>
              <w:t>Item</w:t>
            </w:r>
          </w:p>
        </w:tc>
        <w:tc>
          <w:tcPr>
            <w:tcW w:w="3969"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Especificação do objeto</w:t>
            </w:r>
          </w:p>
        </w:tc>
        <w:tc>
          <w:tcPr>
            <w:tcW w:w="567"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Uni.</w:t>
            </w:r>
          </w:p>
        </w:tc>
        <w:tc>
          <w:tcPr>
            <w:tcW w:w="851" w:type="dxa"/>
            <w:shd w:val="clear" w:color="auto" w:fill="auto"/>
            <w:vAlign w:val="center"/>
          </w:tcPr>
          <w:p w:rsidR="00730080" w:rsidRPr="00620982" w:rsidRDefault="00730080" w:rsidP="00730080">
            <w:pPr>
              <w:pStyle w:val="SemEspaamento"/>
              <w:jc w:val="center"/>
              <w:rPr>
                <w:rFonts w:ascii="Arial" w:hAnsi="Arial" w:cs="Arial"/>
                <w:b/>
                <w:bCs/>
              </w:rPr>
            </w:pPr>
            <w:r w:rsidRPr="00620982">
              <w:rPr>
                <w:rFonts w:ascii="Arial" w:hAnsi="Arial" w:cs="Arial"/>
                <w:b/>
                <w:bCs/>
              </w:rPr>
              <w:t>Quant.</w:t>
            </w:r>
          </w:p>
        </w:tc>
        <w:tc>
          <w:tcPr>
            <w:tcW w:w="850"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Preço unitário</w:t>
            </w:r>
          </w:p>
        </w:tc>
        <w:tc>
          <w:tcPr>
            <w:tcW w:w="1276" w:type="dxa"/>
            <w:shd w:val="clear" w:color="auto" w:fill="auto"/>
            <w:vAlign w:val="center"/>
            <w:hideMark/>
          </w:tcPr>
          <w:p w:rsidR="00730080" w:rsidRPr="00620982" w:rsidRDefault="00730080" w:rsidP="00730080">
            <w:pPr>
              <w:pStyle w:val="SemEspaamento"/>
              <w:jc w:val="center"/>
              <w:rPr>
                <w:rFonts w:ascii="Arial" w:hAnsi="Arial" w:cs="Arial"/>
                <w:b/>
                <w:bCs/>
              </w:rPr>
            </w:pPr>
            <w:r w:rsidRPr="00620982">
              <w:rPr>
                <w:rFonts w:ascii="Arial" w:hAnsi="Arial" w:cs="Arial"/>
                <w:b/>
                <w:bCs/>
              </w:rPr>
              <w:t>Valor Total</w:t>
            </w:r>
          </w:p>
        </w:tc>
      </w:tr>
      <w:tr w:rsidR="00730080" w:rsidRPr="00620982" w:rsidTr="00730080">
        <w:trPr>
          <w:trHeight w:val="555"/>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Exames de RT-PCR para COVID-19</w:t>
            </w:r>
          </w:p>
        </w:tc>
        <w:tc>
          <w:tcPr>
            <w:tcW w:w="3969" w:type="dxa"/>
            <w:shd w:val="clear" w:color="auto" w:fill="auto"/>
            <w:vAlign w:val="center"/>
          </w:tcPr>
          <w:p w:rsidR="00730080" w:rsidRPr="00620982" w:rsidRDefault="00730080" w:rsidP="00730080">
            <w:pPr>
              <w:spacing w:before="100" w:beforeAutospacing="1" w:after="100" w:afterAutospacing="1"/>
              <w:jc w:val="both"/>
              <w:rPr>
                <w:rFonts w:ascii="Arial" w:hAnsi="Arial" w:cs="Arial"/>
                <w:color w:val="FF0000"/>
              </w:rPr>
            </w:pPr>
            <w:r w:rsidRPr="00620982">
              <w:rPr>
                <w:rFonts w:ascii="Arial" w:hAnsi="Arial" w:cs="Arial"/>
              </w:rPr>
              <w:t> É considerado o padrão-ouro no diagnóstico da COVID-19, cuja confirmação é obtida através da detecção do RNA do SARS-CoV-2 na amostra analisada, preferencialmente obtida de raspado de nasofaringe. Transforma RNA do vírus em DNA. O DNA é amplificado. Se houver material genético do SARS-CoV-2 na amostra, sondas específicas detectam a sua presença e emitem um sinal, que é captado pelo equipamento e traduzido em resultado positivo. Em caso de resultado positivo, a suspeita de COVID-19 é confirmada.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500</w:t>
            </w:r>
          </w:p>
        </w:tc>
        <w:tc>
          <w:tcPr>
            <w:tcW w:w="850" w:type="dxa"/>
            <w:shd w:val="clear" w:color="auto" w:fill="auto"/>
            <w:vAlign w:val="center"/>
            <w:hideMark/>
          </w:tcPr>
          <w:p w:rsidR="00730080" w:rsidRPr="00620982" w:rsidRDefault="00730080" w:rsidP="00730080">
            <w:pPr>
              <w:pStyle w:val="SemEspaamento"/>
              <w:jc w:val="center"/>
              <w:rPr>
                <w:rFonts w:ascii="Arial" w:hAnsi="Arial" w:cs="Arial"/>
                <w:color w:val="FF0000"/>
              </w:rPr>
            </w:pPr>
            <w:r w:rsidRPr="00620982">
              <w:rPr>
                <w:rFonts w:ascii="Arial" w:hAnsi="Arial" w:cs="Arial"/>
              </w:rPr>
              <w:t>R$ 200,00</w:t>
            </w:r>
          </w:p>
        </w:tc>
        <w:tc>
          <w:tcPr>
            <w:tcW w:w="1276" w:type="dxa"/>
            <w:shd w:val="clear" w:color="auto" w:fill="auto"/>
            <w:noWrap/>
            <w:vAlign w:val="center"/>
            <w:hideMark/>
          </w:tcPr>
          <w:p w:rsidR="00730080" w:rsidRPr="00620982" w:rsidRDefault="00730080" w:rsidP="00730080">
            <w:pPr>
              <w:pStyle w:val="SemEspaamento"/>
              <w:jc w:val="center"/>
              <w:rPr>
                <w:rFonts w:ascii="Arial" w:hAnsi="Arial" w:cs="Arial"/>
                <w:color w:val="FF0000"/>
              </w:rPr>
            </w:pPr>
            <w:r w:rsidRPr="00620982">
              <w:rPr>
                <w:rFonts w:ascii="Arial" w:hAnsi="Arial" w:cs="Arial"/>
              </w:rPr>
              <w:t>R$ 100.000,00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02</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Teste sorológico IgG/IgM para COVID-19</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shd w:val="clear" w:color="auto" w:fill="FFFFFF"/>
              </w:rPr>
              <w:t xml:space="preserve">O teste de sorologia deve ser realizado pelo menos 10 dias após o aparecimento dos sintomas característicos da COVID-19. A interpretação do resultado deve ser realizada com cautela pelo médico solicitante, levando em consideração os sintomas do paciente, o histórico clínico e os resultados obtidos do exame de RT-PCR (se houver). Os anticorpos da classe IgM podem ser encontrados nas fases iniciais da doença, já a presença dos anticorpos da classe IgG é indicativa de que já decorreu algum tempo desde a infecção e de que a pessoa provavelmente desenvolveu imunidade contra a doença. </w:t>
            </w:r>
            <w:r w:rsidRPr="00620982">
              <w:rPr>
                <w:rFonts w:ascii="Arial" w:hAnsi="Arial" w:cs="Arial"/>
              </w:rPr>
              <w:t>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700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R$ 220,00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R$ 154.000,00</w:t>
            </w:r>
          </w:p>
        </w:tc>
      </w:tr>
      <w:tr w:rsidR="00730080" w:rsidRPr="00620982" w:rsidTr="00730080">
        <w:trPr>
          <w:trHeight w:val="1004"/>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03</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Hemograma Completo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Consiste na contagem de: Eritrócitos, leucócitos (Global e Diferencial), plaquetas, dosagem de hemoglobina, hematócrito, determinação dos índices hematimetricos e avaliação de esfregaço sanguíneo.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R$ 4,11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R$ 7.192,50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04</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Ureia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Exame de sangue para dosagem de ureia.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05</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Creatinina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de creatinina é um </w:t>
            </w:r>
            <w:hyperlink r:id="rId15" w:tgtFrame="_blank" w:history="1">
              <w:r w:rsidRPr="00620982">
                <w:rPr>
                  <w:rFonts w:ascii="Arial" w:hAnsi="Arial" w:cs="Arial"/>
                </w:rPr>
                <w:t>exame de sangue </w:t>
              </w:r>
            </w:hyperlink>
            <w:r w:rsidRPr="00620982">
              <w:rPr>
                <w:rFonts w:ascii="Arial" w:hAnsi="Arial" w:cs="Arial"/>
              </w:rPr>
              <w:t>que mede a quantidade de creatinina, uma proteína produzida naturalmente no organismo a partir da degradação da creatina. Sua dosagem é útil na avaliação e no monitoramento da função excretora renal.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2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06</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Sódio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sódio é o principal cátion extracelular, além disso é o determinante primordial da osmolaridade celular. Alguns fatores regulam a homeostasia do balanço do sódio, tais como, aldosterona e hormônio antidiurético. A dosagem de sódio é útil na avaliação dos distúrbios hidroeletrolíticos.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07</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Potássio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dosagem de potássio é útil na avaliação do equilíbrio hidroeletrolítico e acidobásico. A monitorização do potássio é utilizada no acompanhamento de pacientes em terapia com diuréticos, em nefropatias, na cetoacidose diabética, no manejo da hidratação parenteral e na insuficiência hepática.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R$ 1,85</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R$ 3.237,50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08</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Glutamico-Oxalacetica (TGO)</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A transaminase glutamico-oxalacetica é uma enzima encontrada em altas quantidades no músculo cardíaco, esquelético, células hepáticas e, em menor quantidade, no pâncreas e nos rins. A dosagem de transaminase glutamico-oxalacetica é útil, por exemplo, no diagnóstico do infarto do miocárdio, das doenças hepáticas, da pancreatite aguda, da operação cardíaca, da cateterização cardíaca, da distrofia muscular, da mononucleose, da doença renal agudae de convulsões recentes.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09</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Transaminase Glutamico-Piruvica (TGP)</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A transaminase glutamico-piruvica é encontrada, principalmente, no fígado. A dosagem de transaminase glutamico-piruvica é útil na avaliação de hepatopatias. Realizar o exame e disponibilizar tubos </w:t>
            </w:r>
            <w:r w:rsidRPr="00620982">
              <w:rPr>
                <w:rFonts w:ascii="Arial" w:hAnsi="Arial" w:cs="Arial"/>
              </w:rPr>
              <w:lastRenderedPageBreak/>
              <w:t>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10</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Fosfatase Alcalina</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da fosfatase alcalina serve para identificar a quantidade da enzina fosfatase alcalina no sangue, investigando distúrbios hepáticos ou ósseos.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R$ 2,01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R$ 3.517,50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Dosagem De Gama-Glutamil-Transferase (Gama GT)</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de gama GT mede as quantidades da enzima amaglutamiltransferase (GGT ou gama GT)  no sangue e avalia a função hepática.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R$ 3,51</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R$ 6.142,50</w:t>
            </w:r>
          </w:p>
        </w:tc>
      </w:tr>
      <w:tr w:rsidR="00730080" w:rsidRPr="00620982" w:rsidTr="00730080">
        <w:trPr>
          <w:trHeight w:val="418"/>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12</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de Coagulação</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de tempo de coagulação avalia a atividade dos fatores que participam do processo intrínseco da coagulação. Resultados normais, no entanto, podem ser obtidos em pacientes com deficiência leve ou moderada de um desses fatores. O resultado mostra o tempo gasto para a homeostasia completa do sangue quando colhido e colocado em condições padrão.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 xml:space="preserve">  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13</w:t>
            </w:r>
          </w:p>
        </w:tc>
        <w:tc>
          <w:tcPr>
            <w:tcW w:w="1490"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color w:val="1969A0"/>
                <w:bdr w:val="none" w:sz="0" w:space="0" w:color="auto" w:frame="1"/>
              </w:rPr>
              <w:t> </w:t>
            </w:r>
            <w:r w:rsidRPr="00620982">
              <w:rPr>
                <w:rFonts w:ascii="Arial" w:hAnsi="Arial" w:cs="Arial"/>
                <w:b/>
              </w:rPr>
              <w:t>Determinação de Tempo de Sangramento -Duke</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determinação do tempo de sangramento avalia a interação da plaqueta com a parede do vaso sanguíneo e a formação subsequente do coágulo hemostático de modo independente da cascata da coagulação. Existe uma relação quase linear entre a contagem de plaquetas e o tempo de sangramento. Pode ser realizado pela técnica de duke, a qual é feita através de uma punção no lobo da orelha.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14</w:t>
            </w:r>
          </w:p>
        </w:tc>
        <w:tc>
          <w:tcPr>
            <w:tcW w:w="1490" w:type="dxa"/>
            <w:shd w:val="clear" w:color="auto" w:fill="auto"/>
            <w:noWrap/>
            <w:vAlign w:val="center"/>
          </w:tcPr>
          <w:p w:rsidR="00730080" w:rsidRPr="00620982" w:rsidRDefault="00730080" w:rsidP="00730080">
            <w:pPr>
              <w:pStyle w:val="SemEspaamento"/>
              <w:jc w:val="center"/>
              <w:rPr>
                <w:rFonts w:ascii="Arial" w:hAnsi="Arial" w:cs="Arial"/>
                <w:color w:val="1969A0"/>
                <w:bdr w:val="none" w:sz="0" w:space="0" w:color="auto" w:frame="1"/>
              </w:rPr>
            </w:pPr>
            <w:r w:rsidRPr="00620982">
              <w:rPr>
                <w:rFonts w:ascii="Arial" w:hAnsi="Arial" w:cs="Arial"/>
                <w:b/>
              </w:rPr>
              <w:t>Contagem de Plaquetas</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A contagem de plaquetas consiste na avaliação quantitativa deste elemento do sangue. É realizada pela contagem eletrônica em aparelho automático ou pela contagem no microscópico em câmaras específicas. Permite realizar o diagnóstico de hiperplaquetenia e plaquetopenia.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t>15</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 xml:space="preserve">Determinação de tempo de tromboplastina parcial </w:t>
            </w:r>
            <w:r w:rsidRPr="00620982">
              <w:rPr>
                <w:rFonts w:ascii="Arial" w:hAnsi="Arial" w:cs="Arial"/>
                <w:b/>
              </w:rPr>
              <w:lastRenderedPageBreak/>
              <w:t>ativada (TTP ativada)</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lastRenderedPageBreak/>
              <w:t xml:space="preserve">A determinação de tempo de tromboplastina parcial ativada (TTP ativada) normalmente mede a via intrínseca da coagulação. É indicada nos casos de suspeita de deficiência de fatores da via </w:t>
            </w:r>
            <w:r w:rsidRPr="00620982">
              <w:rPr>
                <w:rFonts w:ascii="Arial" w:hAnsi="Arial" w:cs="Arial"/>
              </w:rPr>
              <w:lastRenderedPageBreak/>
              <w:t>intrínseca da coagulação, antes de serem realizadas intervenções cirúrgicas, e no controle de terapêutica anticoagulante pela heparina. 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O tempo de tromboplastina parcial corresponde ao tempo gasto para ocorrer a coagulação do plasma recalcificado em presença de cefalina.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R$ 5,77</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R$ 10.097,50</w:t>
            </w:r>
          </w:p>
        </w:tc>
      </w:tr>
      <w:tr w:rsidR="00730080" w:rsidRPr="00620982" w:rsidTr="00730080">
        <w:trPr>
          <w:trHeight w:val="418"/>
        </w:trPr>
        <w:tc>
          <w:tcPr>
            <w:tcW w:w="428" w:type="dxa"/>
            <w:vAlign w:val="center"/>
          </w:tcPr>
          <w:p w:rsidR="00730080" w:rsidRPr="00620982" w:rsidRDefault="00730080" w:rsidP="00730080">
            <w:pPr>
              <w:pStyle w:val="SemEspaamento"/>
              <w:rPr>
                <w:rFonts w:ascii="Arial" w:hAnsi="Arial" w:cs="Arial"/>
                <w:b/>
              </w:rPr>
            </w:pPr>
            <w:r w:rsidRPr="00620982">
              <w:rPr>
                <w:rFonts w:ascii="Arial" w:hAnsi="Arial" w:cs="Arial"/>
                <w:b/>
              </w:rPr>
              <w:lastRenderedPageBreak/>
              <w:t>16</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Determinação de Tempo e Atividade Da Protrombina (TAP)</w:t>
            </w:r>
          </w:p>
        </w:tc>
        <w:tc>
          <w:tcPr>
            <w:tcW w:w="3969" w:type="dxa"/>
            <w:shd w:val="clear" w:color="auto" w:fill="auto"/>
          </w:tcPr>
          <w:p w:rsidR="00730080" w:rsidRPr="00620982" w:rsidRDefault="00730080" w:rsidP="00730080">
            <w:pPr>
              <w:pStyle w:val="SemEspaamento"/>
              <w:jc w:val="both"/>
              <w:rPr>
                <w:rFonts w:ascii="Arial" w:hAnsi="Arial" w:cs="Arial"/>
              </w:rPr>
            </w:pPr>
            <w:r w:rsidRPr="00620982">
              <w:rPr>
                <w:rFonts w:ascii="Arial" w:hAnsi="Arial" w:cs="Arial"/>
              </w:rPr>
              <w:t>O tempo da protrombina está prolongado nas seguintes condições: nas deficiências de fatores vii, v, x, ii (protrombina) e i, na presença de alguns tipos de anticoagulantes circulantes, em pacientes com doença hepática grave, em condições que alterem a absorção, síntese e o metabolismo da vitamina k e em pacientes com hipofibrinogenemia. Método: coagulométrico em sangue venoso.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both"/>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R$ 2,73</w:t>
            </w:r>
          </w:p>
        </w:tc>
        <w:tc>
          <w:tcPr>
            <w:tcW w:w="1276" w:type="dxa"/>
            <w:shd w:val="clear" w:color="auto" w:fill="auto"/>
            <w:noWrap/>
            <w:vAlign w:val="center"/>
          </w:tcPr>
          <w:p w:rsidR="00730080" w:rsidRPr="00620982" w:rsidRDefault="00730080" w:rsidP="00730080">
            <w:pPr>
              <w:pStyle w:val="SemEspaamento"/>
              <w:jc w:val="both"/>
              <w:rPr>
                <w:rFonts w:ascii="Arial" w:hAnsi="Arial" w:cs="Arial"/>
              </w:rPr>
            </w:pPr>
            <w:r w:rsidRPr="00620982">
              <w:rPr>
                <w:rFonts w:ascii="Arial" w:hAnsi="Arial" w:cs="Arial"/>
              </w:rPr>
              <w:t>R$ 4.777,50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17</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Análise de Caracteres Físicos, Elementos e Sedimento da Urina (EAS)</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Exame de Urina para análise qualitativa, quantitativa de elementos anormais (físicos e químicos) e do sedimento urinário.  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R$ 3,70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R$ 6.475,00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18</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rPr>
            </w:pPr>
            <w:r w:rsidRPr="00620982">
              <w:rPr>
                <w:rFonts w:ascii="Arial" w:hAnsi="Arial" w:cs="Arial"/>
                <w:b/>
              </w:rPr>
              <w:t>Bacterioscopia (Gram)</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O exame bacterioscópico ao Gram permite um estudo acurado das características morfotintoriais das bactérias e outros elementos (fungos, leucócitos, outros tipos celulares, etc).</w:t>
            </w:r>
            <w:r w:rsidRPr="00620982">
              <w:rPr>
                <w:rFonts w:ascii="Arial" w:hAnsi="Arial" w:cs="Arial"/>
                <w:color w:val="444444"/>
                <w:shd w:val="clear" w:color="auto" w:fill="FFFFFF"/>
              </w:rPr>
              <w:t> </w:t>
            </w:r>
            <w:r w:rsidRPr="00620982">
              <w:rPr>
                <w:rFonts w:ascii="Arial" w:hAnsi="Arial" w:cs="Arial"/>
              </w:rPr>
              <w:t>Realizar o exame e disponibilizar tubos para coleta, bem como,  demais insumos laboratoriais que se fizerem necessários.</w:t>
            </w:r>
          </w:p>
        </w:tc>
        <w:tc>
          <w:tcPr>
            <w:tcW w:w="567" w:type="dxa"/>
            <w:shd w:val="clear" w:color="auto" w:fill="auto"/>
            <w:noWrap/>
            <w:vAlign w:val="center"/>
          </w:tcPr>
          <w:p w:rsidR="00730080" w:rsidRPr="00620982" w:rsidRDefault="00730080" w:rsidP="00730080">
            <w:pPr>
              <w:jc w:val="center"/>
              <w:rPr>
                <w:rFonts w:ascii="Arial" w:hAnsi="Arial" w:cs="Arial"/>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1750</w:t>
            </w:r>
          </w:p>
        </w:tc>
        <w:tc>
          <w:tcPr>
            <w:tcW w:w="850" w:type="dxa"/>
            <w:shd w:val="clear" w:color="auto" w:fill="auto"/>
            <w:vAlign w:val="center"/>
          </w:tcPr>
          <w:p w:rsidR="00730080" w:rsidRPr="00620982" w:rsidRDefault="00730080" w:rsidP="00730080">
            <w:pPr>
              <w:pStyle w:val="SemEspaamento"/>
              <w:jc w:val="center"/>
              <w:rPr>
                <w:rFonts w:ascii="Arial" w:hAnsi="Arial" w:cs="Arial"/>
              </w:rPr>
            </w:pPr>
            <w:r w:rsidRPr="00620982">
              <w:rPr>
                <w:rFonts w:ascii="Arial" w:hAnsi="Arial" w:cs="Arial"/>
              </w:rPr>
              <w:t>R$ 2,80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R$ 4.900,00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19</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 xml:space="preserve">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então uma representação em duas </w:t>
            </w:r>
            <w:r w:rsidRPr="00620982">
              <w:rPr>
                <w:rFonts w:ascii="Arial" w:hAnsi="Arial" w:cs="Arial"/>
              </w:rPr>
              <w:lastRenderedPageBreak/>
              <w:t>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É Raios X simples de tórax.</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lastRenderedPageBreak/>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210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R$ 30,00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R$ 6.300,00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lastRenderedPageBreak/>
              <w:t>20</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Radiografia de Tórax PA e Perfil</w:t>
            </w:r>
          </w:p>
        </w:tc>
        <w:tc>
          <w:tcPr>
            <w:tcW w:w="3969" w:type="dxa"/>
            <w:shd w:val="clear" w:color="auto" w:fill="auto"/>
            <w:vAlign w:val="center"/>
          </w:tcPr>
          <w:p w:rsidR="00730080" w:rsidRPr="00620982" w:rsidRDefault="00730080" w:rsidP="00730080">
            <w:pPr>
              <w:pStyle w:val="SemEspaamento"/>
              <w:jc w:val="both"/>
              <w:rPr>
                <w:rFonts w:ascii="Arial" w:hAnsi="Arial" w:cs="Arial"/>
                <w:color w:val="FF0000"/>
              </w:rPr>
            </w:pPr>
            <w:r w:rsidRPr="00620982">
              <w:rPr>
                <w:rFonts w:ascii="Arial" w:hAnsi="Arial" w:cs="Arial"/>
              </w:rPr>
              <w:t>Consiste na realização de procedimento utilizando a técnica de exame de imagem com Raios X em uma região do corpo humano. Um feixe heterogêneo de Raios X é produzido por um gerador e projetado sobre um objeto. A densidade e a composição de cada área determina a quantidade de Raios X absorvida. Os Raios X que atravessam são capturados atrás do objeto por um detector (seja filme fotográfico ou detector digital). Produz-se então uma representação em duas dimensões de todas as estruturas superpostas. O feixe de Raios X, transmitido através do paciente, impressiona o filme radiográfico, o qual, uma vez revelado, proporciona uma imagem que permite distinguir estruturas e tecidos com propriedades diferenciadas de todo o tórax na posição antero-posterior e perfil.</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350</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R$ 45,00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R$ 15.750,00</w:t>
            </w:r>
          </w:p>
        </w:tc>
      </w:tr>
      <w:tr w:rsidR="00730080" w:rsidRPr="00620982" w:rsidTr="00730080">
        <w:trPr>
          <w:trHeight w:val="477"/>
        </w:trPr>
        <w:tc>
          <w:tcPr>
            <w:tcW w:w="428" w:type="dxa"/>
            <w:vAlign w:val="center"/>
          </w:tcPr>
          <w:p w:rsidR="00730080" w:rsidRPr="00620982" w:rsidRDefault="00730080" w:rsidP="00730080">
            <w:pPr>
              <w:pStyle w:val="SemEspaamento"/>
              <w:jc w:val="center"/>
              <w:rPr>
                <w:rFonts w:ascii="Arial" w:hAnsi="Arial" w:cs="Arial"/>
                <w:b/>
              </w:rPr>
            </w:pPr>
            <w:r w:rsidRPr="00620982">
              <w:rPr>
                <w:rFonts w:ascii="Arial" w:hAnsi="Arial" w:cs="Arial"/>
                <w:b/>
              </w:rPr>
              <w:t>21</w:t>
            </w:r>
          </w:p>
        </w:tc>
        <w:tc>
          <w:tcPr>
            <w:tcW w:w="1490" w:type="dxa"/>
            <w:shd w:val="clear" w:color="auto" w:fill="auto"/>
            <w:noWrap/>
            <w:vAlign w:val="center"/>
          </w:tcPr>
          <w:p w:rsidR="00730080" w:rsidRPr="00620982" w:rsidRDefault="00730080" w:rsidP="00730080">
            <w:pPr>
              <w:pStyle w:val="SemEspaamento"/>
              <w:jc w:val="center"/>
              <w:rPr>
                <w:rFonts w:ascii="Arial" w:hAnsi="Arial" w:cs="Arial"/>
                <w:b/>
                <w:color w:val="FF0000"/>
              </w:rPr>
            </w:pPr>
            <w:r w:rsidRPr="00620982">
              <w:rPr>
                <w:rFonts w:ascii="Arial" w:hAnsi="Arial" w:cs="Arial"/>
                <w:b/>
              </w:rPr>
              <w:t>Tomografia computadorizada de Tórax</w:t>
            </w:r>
          </w:p>
        </w:tc>
        <w:tc>
          <w:tcPr>
            <w:tcW w:w="3969" w:type="dxa"/>
            <w:shd w:val="clear" w:color="auto" w:fill="auto"/>
            <w:vAlign w:val="center"/>
          </w:tcPr>
          <w:p w:rsidR="00730080" w:rsidRPr="00620982" w:rsidRDefault="00730080" w:rsidP="00730080">
            <w:pPr>
              <w:pStyle w:val="SemEspaamento"/>
              <w:jc w:val="both"/>
              <w:rPr>
                <w:rFonts w:ascii="Arial" w:hAnsi="Arial" w:cs="Arial"/>
              </w:rPr>
            </w:pPr>
            <w:r w:rsidRPr="00620982">
              <w:rPr>
                <w:rFonts w:ascii="Arial" w:hAnsi="Arial" w:cs="Arial"/>
              </w:rPr>
              <w:t>Consiste no método de diagnóstico por imagem que através de cortes axiais proporciona estudo detalhado de diferentes estruturas do corpo humano, facilita a localização, detecta alterações muito pequenas em ossos, tecidos, órgãos e outras estruturas do corpo e proporciona maior precisão nas intervenções clínicas e cirúrgicas.</w:t>
            </w:r>
          </w:p>
        </w:tc>
        <w:tc>
          <w:tcPr>
            <w:tcW w:w="567" w:type="dxa"/>
            <w:shd w:val="clear" w:color="auto" w:fill="auto"/>
            <w:noWrap/>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Un</w:t>
            </w:r>
          </w:p>
        </w:tc>
        <w:tc>
          <w:tcPr>
            <w:tcW w:w="851"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84</w:t>
            </w:r>
          </w:p>
        </w:tc>
        <w:tc>
          <w:tcPr>
            <w:tcW w:w="850" w:type="dxa"/>
            <w:shd w:val="clear" w:color="auto" w:fill="auto"/>
            <w:vAlign w:val="center"/>
          </w:tcPr>
          <w:p w:rsidR="00730080" w:rsidRPr="00620982" w:rsidRDefault="00730080" w:rsidP="00730080">
            <w:pPr>
              <w:pStyle w:val="SemEspaamento"/>
              <w:jc w:val="center"/>
              <w:rPr>
                <w:rFonts w:ascii="Arial" w:hAnsi="Arial" w:cs="Arial"/>
                <w:color w:val="FF0000"/>
              </w:rPr>
            </w:pPr>
            <w:r w:rsidRPr="00620982">
              <w:rPr>
                <w:rFonts w:ascii="Arial" w:hAnsi="Arial" w:cs="Arial"/>
              </w:rPr>
              <w:t>R$ 300,00</w:t>
            </w:r>
          </w:p>
        </w:tc>
        <w:tc>
          <w:tcPr>
            <w:tcW w:w="1276" w:type="dxa"/>
            <w:shd w:val="clear" w:color="auto" w:fill="auto"/>
            <w:noWrap/>
            <w:vAlign w:val="center"/>
          </w:tcPr>
          <w:p w:rsidR="00730080" w:rsidRPr="00620982" w:rsidRDefault="00730080" w:rsidP="00730080">
            <w:pPr>
              <w:pStyle w:val="SemEspaamento"/>
              <w:jc w:val="center"/>
              <w:rPr>
                <w:rFonts w:ascii="Arial" w:hAnsi="Arial" w:cs="Arial"/>
              </w:rPr>
            </w:pPr>
            <w:r w:rsidRPr="00620982">
              <w:rPr>
                <w:rFonts w:ascii="Arial" w:hAnsi="Arial" w:cs="Arial"/>
              </w:rPr>
              <w:t>R$ 25.200,00</w:t>
            </w:r>
          </w:p>
        </w:tc>
      </w:tr>
      <w:tr w:rsidR="00730080" w:rsidRPr="00620982" w:rsidTr="00730080">
        <w:trPr>
          <w:trHeight w:val="331"/>
        </w:trPr>
        <w:tc>
          <w:tcPr>
            <w:tcW w:w="9431" w:type="dxa"/>
            <w:gridSpan w:val="7"/>
            <w:vAlign w:val="center"/>
          </w:tcPr>
          <w:p w:rsidR="00730080" w:rsidRPr="00620982" w:rsidRDefault="00730080" w:rsidP="00730080">
            <w:pPr>
              <w:pStyle w:val="SemEspaamento"/>
              <w:jc w:val="center"/>
              <w:rPr>
                <w:rFonts w:ascii="Arial" w:hAnsi="Arial" w:cs="Arial"/>
                <w:b/>
              </w:rPr>
            </w:pPr>
            <w:r w:rsidRPr="00620982">
              <w:rPr>
                <w:rFonts w:ascii="Arial" w:hAnsi="Arial" w:cs="Arial"/>
                <w:b/>
                <w:bCs/>
              </w:rPr>
              <w:t>Total:                                                                                                                        R$ 378.670,00</w:t>
            </w:r>
          </w:p>
        </w:tc>
      </w:tr>
    </w:tbl>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F12605" w:rsidRPr="00427773" w:rsidRDefault="00F12605" w:rsidP="00F12605">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F12605" w:rsidRPr="00427773" w:rsidRDefault="00F12605" w:rsidP="00F12605">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005</w:t>
      </w:r>
      <w:r w:rsidRPr="00427773">
        <w:rPr>
          <w:rFonts w:ascii="Arial" w:hAnsi="Arial" w:cs="Arial"/>
          <w:b/>
        </w:rPr>
        <w:t>/</w:t>
      </w:r>
      <w:r>
        <w:rPr>
          <w:rFonts w:ascii="Arial" w:hAnsi="Arial" w:cs="Arial"/>
          <w:b/>
        </w:rPr>
        <w:t>2020</w:t>
      </w:r>
    </w:p>
    <w:p w:rsidR="00F12605" w:rsidRPr="00427773" w:rsidRDefault="00F12605" w:rsidP="00F12605">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000103</w:t>
      </w:r>
      <w:r w:rsidRPr="00427773">
        <w:rPr>
          <w:rFonts w:ascii="Arial" w:hAnsi="Arial" w:cs="Arial"/>
          <w:b/>
        </w:rPr>
        <w:t>/</w:t>
      </w:r>
      <w:r>
        <w:rPr>
          <w:rFonts w:ascii="Arial" w:hAnsi="Arial" w:cs="Arial"/>
          <w:b/>
        </w:rPr>
        <w:t>2020</w:t>
      </w:r>
    </w:p>
    <w:p w:rsidR="002E5223" w:rsidRPr="00427773" w:rsidRDefault="00F12605" w:rsidP="00F12605">
      <w:pPr>
        <w:jc w:val="both"/>
        <w:rPr>
          <w:rFonts w:ascii="Arial" w:hAnsi="Arial" w:cs="Arial"/>
        </w:rPr>
      </w:pPr>
      <w:r w:rsidRPr="00427773">
        <w:rPr>
          <w:rFonts w:ascii="Arial" w:hAnsi="Arial" w:cs="Arial"/>
          <w:b/>
        </w:rPr>
        <w:t>Data da Abertura</w:t>
      </w:r>
      <w:r w:rsidRPr="00427773">
        <w:rPr>
          <w:rFonts w:ascii="Arial" w:hAnsi="Arial" w:cs="Arial"/>
          <w:b/>
        </w:rPr>
        <w:tab/>
        <w:t xml:space="preserve">: </w:t>
      </w:r>
      <w:r w:rsidR="00D56018">
        <w:rPr>
          <w:rFonts w:ascii="Arial" w:hAnsi="Arial" w:cs="Arial"/>
          <w:b/>
        </w:rPr>
        <w:t>08</w:t>
      </w:r>
      <w:r>
        <w:rPr>
          <w:rFonts w:ascii="Arial" w:hAnsi="Arial" w:cs="Arial"/>
          <w:b/>
        </w:rPr>
        <w:t>/09/2020</w:t>
      </w:r>
      <w:r w:rsidRPr="00427773">
        <w:rPr>
          <w:rFonts w:ascii="Arial" w:hAnsi="Arial" w:cs="Arial"/>
          <w:b/>
        </w:rPr>
        <w:t xml:space="preserve"> – </w:t>
      </w:r>
      <w:r w:rsidR="00230CF0">
        <w:rPr>
          <w:rFonts w:ascii="Arial" w:hAnsi="Arial" w:cs="Arial"/>
          <w:b/>
        </w:rPr>
        <w:t>15</w:t>
      </w:r>
      <w:bookmarkStart w:id="0" w:name="_GoBack"/>
      <w:bookmarkEnd w:id="0"/>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email.</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39138F" w:rsidP="003D2344">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10795" r="571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0DF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Default="00180B01" w:rsidP="006D3E63">
      <w:pPr>
        <w:autoSpaceDE w:val="0"/>
        <w:autoSpaceDN w:val="0"/>
        <w:adjustRightInd w:val="0"/>
        <w:spacing w:line="360" w:lineRule="auto"/>
        <w:jc w:val="both"/>
        <w:rPr>
          <w:rFonts w:ascii="Arial" w:hAnsi="Arial" w:cs="Arial"/>
          <w:b/>
          <w:bCs/>
          <w:lang w:eastAsia="en-US"/>
        </w:rPr>
      </w:pPr>
    </w:p>
    <w:p w:rsidR="00D355FC" w:rsidRPr="00427773" w:rsidRDefault="00D355FC"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730080">
        <w:rPr>
          <w:rFonts w:ascii="Arial" w:hAnsi="Arial" w:cs="Arial"/>
          <w:b/>
        </w:rPr>
        <w:t>00005</w:t>
      </w:r>
      <w:r w:rsidR="00D355FC">
        <w:rPr>
          <w:rFonts w:ascii="Arial" w:hAnsi="Arial" w:cs="Arial"/>
          <w:b/>
        </w:rPr>
        <w:t>/2020</w:t>
      </w:r>
      <w:r w:rsidRPr="00427773">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730080">
        <w:rPr>
          <w:rFonts w:ascii="Arial" w:hAnsi="Arial" w:cs="Arial"/>
          <w:b/>
        </w:rPr>
        <w:t>00005</w:t>
      </w:r>
      <w:r w:rsidR="00D355FC">
        <w:rPr>
          <w:rFonts w:ascii="Arial" w:hAnsi="Arial" w:cs="Arial"/>
          <w:b/>
        </w:rPr>
        <w:t>/2020</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16"/>
      <w:footerReference w:type="even" r:id="rId17"/>
      <w:footerReference w:type="default" r:id="rId18"/>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9A" w:rsidRDefault="0008369A">
      <w:r>
        <w:separator/>
      </w:r>
    </w:p>
  </w:endnote>
  <w:endnote w:type="continuationSeparator" w:id="0">
    <w:p w:rsidR="0008369A" w:rsidRDefault="0008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18" w:rsidRDefault="00D5601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6018" w:rsidRDefault="00D56018"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18" w:rsidRDefault="00D5601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0CF0">
      <w:rPr>
        <w:rStyle w:val="Nmerodepgina"/>
        <w:noProof/>
      </w:rPr>
      <w:t>33</w:t>
    </w:r>
    <w:r>
      <w:rPr>
        <w:rStyle w:val="Nmerodepgina"/>
      </w:rPr>
      <w:fldChar w:fldCharType="end"/>
    </w:r>
  </w:p>
  <w:p w:rsidR="00D56018" w:rsidRDefault="00D56018"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9A" w:rsidRDefault="0008369A">
      <w:r>
        <w:separator/>
      </w:r>
    </w:p>
  </w:footnote>
  <w:footnote w:type="continuationSeparator" w:id="0">
    <w:p w:rsidR="0008369A" w:rsidRDefault="0008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D56018" w:rsidRPr="00C44C8F" w:rsidTr="00AA1B8A">
      <w:trPr>
        <w:trHeight w:val="1083"/>
        <w:jc w:val="center"/>
      </w:trPr>
      <w:tc>
        <w:tcPr>
          <w:tcW w:w="1616" w:type="dxa"/>
        </w:tcPr>
        <w:p w:rsidR="00D56018" w:rsidRPr="00C44C8F" w:rsidRDefault="00D56018"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D56018" w:rsidRPr="00C44C8F" w:rsidRDefault="00D56018"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D56018" w:rsidRPr="00C44C8F" w:rsidRDefault="00D56018"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D56018" w:rsidRPr="00C44C8F" w:rsidRDefault="00D56018"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D56018" w:rsidRPr="00C44C8F" w:rsidRDefault="00D56018" w:rsidP="00AA1B8A">
          <w:pPr>
            <w:tabs>
              <w:tab w:val="center" w:pos="4252"/>
              <w:tab w:val="right" w:pos="8504"/>
            </w:tabs>
            <w:jc w:val="center"/>
            <w:rPr>
              <w:rFonts w:ascii="Arial" w:eastAsia="Calibri" w:hAnsi="Arial" w:cs="Arial"/>
              <w:b/>
              <w:sz w:val="18"/>
            </w:rPr>
          </w:pPr>
        </w:p>
        <w:p w:rsidR="00D56018" w:rsidRPr="00C44C8F" w:rsidRDefault="00D56018"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D56018" w:rsidRPr="00E106D8" w:rsidRDefault="00D560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82B613E"/>
    <w:multiLevelType w:val="multilevel"/>
    <w:tmpl w:val="9B9E74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3FD4C73"/>
    <w:multiLevelType w:val="multilevel"/>
    <w:tmpl w:val="2018C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6">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5E955433"/>
    <w:multiLevelType w:val="multilevel"/>
    <w:tmpl w:val="DA14BF24"/>
    <w:lvl w:ilvl="0">
      <w:start w:val="4"/>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8369A"/>
    <w:rsid w:val="000B1F37"/>
    <w:rsid w:val="000B6A3A"/>
    <w:rsid w:val="000D55B7"/>
    <w:rsid w:val="00121448"/>
    <w:rsid w:val="00140153"/>
    <w:rsid w:val="00180B01"/>
    <w:rsid w:val="001B0DB6"/>
    <w:rsid w:val="001E61D2"/>
    <w:rsid w:val="002069A5"/>
    <w:rsid w:val="002248F5"/>
    <w:rsid w:val="00230CF0"/>
    <w:rsid w:val="002A211B"/>
    <w:rsid w:val="002E5223"/>
    <w:rsid w:val="0030606C"/>
    <w:rsid w:val="00315ACF"/>
    <w:rsid w:val="0032518F"/>
    <w:rsid w:val="0036380B"/>
    <w:rsid w:val="00387124"/>
    <w:rsid w:val="0039138F"/>
    <w:rsid w:val="003A4405"/>
    <w:rsid w:val="003D2344"/>
    <w:rsid w:val="003D2CC8"/>
    <w:rsid w:val="003E2155"/>
    <w:rsid w:val="003E788B"/>
    <w:rsid w:val="003F744B"/>
    <w:rsid w:val="00427773"/>
    <w:rsid w:val="00464206"/>
    <w:rsid w:val="004732FD"/>
    <w:rsid w:val="0049324F"/>
    <w:rsid w:val="004F19EC"/>
    <w:rsid w:val="00556CB4"/>
    <w:rsid w:val="00577215"/>
    <w:rsid w:val="00597584"/>
    <w:rsid w:val="005C48FE"/>
    <w:rsid w:val="005D02F2"/>
    <w:rsid w:val="00612743"/>
    <w:rsid w:val="0066646B"/>
    <w:rsid w:val="00672ACF"/>
    <w:rsid w:val="00676296"/>
    <w:rsid w:val="006855F6"/>
    <w:rsid w:val="006D10B5"/>
    <w:rsid w:val="006D3E63"/>
    <w:rsid w:val="006D4683"/>
    <w:rsid w:val="006D6DC1"/>
    <w:rsid w:val="006D7CCB"/>
    <w:rsid w:val="006E5342"/>
    <w:rsid w:val="007017E9"/>
    <w:rsid w:val="0070744B"/>
    <w:rsid w:val="00707CA7"/>
    <w:rsid w:val="00730080"/>
    <w:rsid w:val="0075769E"/>
    <w:rsid w:val="00827DA1"/>
    <w:rsid w:val="008333B8"/>
    <w:rsid w:val="0084337F"/>
    <w:rsid w:val="00877F59"/>
    <w:rsid w:val="008B3960"/>
    <w:rsid w:val="0091652F"/>
    <w:rsid w:val="00933A62"/>
    <w:rsid w:val="009A1BB0"/>
    <w:rsid w:val="009D467A"/>
    <w:rsid w:val="00A13B02"/>
    <w:rsid w:val="00A21EC5"/>
    <w:rsid w:val="00A360DF"/>
    <w:rsid w:val="00A51B6C"/>
    <w:rsid w:val="00A858EA"/>
    <w:rsid w:val="00A923B8"/>
    <w:rsid w:val="00A92BF7"/>
    <w:rsid w:val="00AA1B8A"/>
    <w:rsid w:val="00AF5291"/>
    <w:rsid w:val="00B21CE4"/>
    <w:rsid w:val="00B41A84"/>
    <w:rsid w:val="00B45852"/>
    <w:rsid w:val="00B60EF9"/>
    <w:rsid w:val="00BE196E"/>
    <w:rsid w:val="00BF0C45"/>
    <w:rsid w:val="00C20A58"/>
    <w:rsid w:val="00C35B46"/>
    <w:rsid w:val="00C35EED"/>
    <w:rsid w:val="00C513D6"/>
    <w:rsid w:val="00C62E9E"/>
    <w:rsid w:val="00CA4F88"/>
    <w:rsid w:val="00CA649E"/>
    <w:rsid w:val="00CB34F3"/>
    <w:rsid w:val="00CC3C44"/>
    <w:rsid w:val="00CE09FA"/>
    <w:rsid w:val="00D16F4A"/>
    <w:rsid w:val="00D2576F"/>
    <w:rsid w:val="00D355FC"/>
    <w:rsid w:val="00D434B4"/>
    <w:rsid w:val="00D56018"/>
    <w:rsid w:val="00D66FA8"/>
    <w:rsid w:val="00D822A3"/>
    <w:rsid w:val="00DA0E36"/>
    <w:rsid w:val="00DA77DC"/>
    <w:rsid w:val="00E106D8"/>
    <w:rsid w:val="00E56784"/>
    <w:rsid w:val="00E56CB3"/>
    <w:rsid w:val="00EA6296"/>
    <w:rsid w:val="00EF0C9C"/>
    <w:rsid w:val="00F12605"/>
    <w:rsid w:val="00F141AE"/>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styleId="SemEspaamento">
    <w:name w:val="No Spacing"/>
    <w:uiPriority w:val="1"/>
    <w:qFormat/>
    <w:rsid w:val="00D355FC"/>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janauba@yahoo.com.br" TargetMode="External"/><Relationship Id="rId13" Type="http://schemas.openxmlformats.org/officeDocument/2006/relationships/hyperlink" Target="https://pt.wikipedia.org/wiki/Sep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Pneumo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Gripe" TargetMode="External"/><Relationship Id="rId5" Type="http://schemas.openxmlformats.org/officeDocument/2006/relationships/webSettings" Target="webSettings.xml"/><Relationship Id="rId15" Type="http://schemas.openxmlformats.org/officeDocument/2006/relationships/hyperlink" Target="https://medprev.online/exames/exame-de-sangue-hemograma.html" TargetMode="External"/><Relationship Id="rId10" Type="http://schemas.openxmlformats.org/officeDocument/2006/relationships/hyperlink" Target="https://pt.wikipedia.org/wiki/Coronav%C3%ADrus_da_S%C3%ADndrome_Respirat%C3%B3ria_Aguda_Grave_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prev.online/exames/exame-de-sangue-hemograma.html" TargetMode="External"/><Relationship Id="rId14" Type="http://schemas.openxmlformats.org/officeDocument/2006/relationships/hyperlink" Target="https://medprev.online/exames/exame-de-sangue-hemogram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8CDA-BE4B-4B12-A4C1-937BEA0E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13352</Words>
  <Characters>72105</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85287</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 Antônio de Carvalho Lopes</cp:lastModifiedBy>
  <cp:revision>15</cp:revision>
  <cp:lastPrinted>2020-08-21T18:07:00Z</cp:lastPrinted>
  <dcterms:created xsi:type="dcterms:W3CDTF">2020-06-07T04:22:00Z</dcterms:created>
  <dcterms:modified xsi:type="dcterms:W3CDTF">2020-08-21T18:24:00Z</dcterms:modified>
</cp:coreProperties>
</file>