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286A97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w:t>
      </w:r>
      <w:r w:rsidR="008D1DA2">
        <w:rPr>
          <w:rFonts w:ascii="Arial" w:eastAsia="Arial" w:hAnsi="Arial" w:cs="Arial"/>
          <w:b/>
          <w:bCs/>
          <w:sz w:val="22"/>
          <w:szCs w:val="22"/>
        </w:rPr>
        <w:t>14</w:t>
      </w:r>
      <w:r w:rsidRPr="00117D0D">
        <w:rPr>
          <w:rFonts w:ascii="Arial" w:eastAsia="Arial" w:hAnsi="Arial" w:cs="Arial"/>
          <w:b/>
          <w:bCs/>
          <w:sz w:val="22"/>
          <w:szCs w:val="22"/>
        </w:rPr>
        <w:t xml:space="preserve">/2024 </w:t>
      </w:r>
    </w:p>
    <w:p w14:paraId="1511A0A3" w14:textId="013E7810"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D1DA2">
        <w:rPr>
          <w:rFonts w:ascii="Arial" w:eastAsia="Arial" w:hAnsi="Arial" w:cs="Arial"/>
          <w:b/>
          <w:bCs/>
          <w:sz w:val="22"/>
          <w:szCs w:val="22"/>
        </w:rPr>
        <w:t>105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4C71947"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8D1DA2">
        <w:rPr>
          <w:rFonts w:ascii="Arial" w:hAnsi="Arial" w:cs="Arial"/>
          <w:b/>
          <w:sz w:val="22"/>
          <w:szCs w:val="22"/>
        </w:rPr>
        <w:t>1</w:t>
      </w:r>
      <w:r w:rsidR="00C64988">
        <w:rPr>
          <w:rFonts w:ascii="Arial" w:hAnsi="Arial" w:cs="Arial"/>
          <w:b/>
          <w:sz w:val="22"/>
          <w:szCs w:val="22"/>
        </w:rPr>
        <w:t>7</w:t>
      </w:r>
      <w:r w:rsidRPr="00965B64">
        <w:rPr>
          <w:rFonts w:ascii="Arial" w:hAnsi="Arial" w:cs="Arial"/>
          <w:b/>
          <w:sz w:val="22"/>
          <w:szCs w:val="22"/>
        </w:rPr>
        <w:t>/</w:t>
      </w:r>
      <w:r w:rsidR="008D1DA2">
        <w:rPr>
          <w:rFonts w:ascii="Arial" w:hAnsi="Arial" w:cs="Arial"/>
          <w:b/>
          <w:sz w:val="22"/>
          <w:szCs w:val="22"/>
        </w:rPr>
        <w:t>01</w:t>
      </w:r>
      <w:r w:rsidRPr="00965B64">
        <w:rPr>
          <w:rFonts w:ascii="Arial" w:hAnsi="Arial" w:cs="Arial"/>
          <w:b/>
          <w:sz w:val="22"/>
          <w:szCs w:val="22"/>
        </w:rPr>
        <w:t>/202</w:t>
      </w:r>
      <w:r w:rsidR="008D1DA2">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9297C67"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86810574"/>
      <w:bookmarkStart w:id="1" w:name="_Hlk186810428"/>
      <w:r w:rsidR="008D1DA2" w:rsidRPr="008D1DA2">
        <w:rPr>
          <w:rFonts w:ascii="Arial" w:hAnsi="Arial" w:cs="Arial"/>
          <w:bCs/>
          <w:color w:val="000000"/>
          <w:sz w:val="22"/>
          <w:szCs w:val="22"/>
        </w:rPr>
        <w:t>Contratação de empresa especializada para Elaboração do projeto de Transporte Escolar com produção dos elementos e instrumentalização das bases necessárias à parametrização das ferramentas de controle interno e externo</w:t>
      </w:r>
      <w:bookmarkEnd w:id="0"/>
      <w:r w:rsidR="008D1DA2" w:rsidRPr="008D1DA2">
        <w:rPr>
          <w:rFonts w:ascii="Arial" w:hAnsi="Arial" w:cs="Arial"/>
          <w:bCs/>
          <w:color w:val="000000"/>
          <w:sz w:val="22"/>
          <w:szCs w:val="22"/>
        </w:rPr>
        <w:t>, incluindo georreferenciamento dos itinerários e rotas, nos moldes conceituais estabelecidos pelos órgãos de controle</w:t>
      </w:r>
      <w:bookmarkEnd w:id="1"/>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32B92295" w14:textId="77777777" w:rsidR="004F23D2" w:rsidRPr="003D600F" w:rsidRDefault="004F23D2" w:rsidP="00EC4998">
      <w:pPr>
        <w:rPr>
          <w:rFonts w:ascii="Arial" w:eastAsia="Arial" w:hAnsi="Arial" w:cs="Arial"/>
          <w:sz w:val="22"/>
          <w:szCs w:val="22"/>
        </w:rPr>
      </w:pP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0F781E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13EFC">
        <w:rPr>
          <w:rFonts w:ascii="Arial" w:eastAsia="Arial" w:hAnsi="Arial" w:cs="Arial"/>
          <w:sz w:val="22"/>
          <w:szCs w:val="22"/>
        </w:rPr>
        <w:t>1,00</w:t>
      </w:r>
      <w:r w:rsidRPr="003D600F">
        <w:rPr>
          <w:rFonts w:ascii="Arial" w:eastAsia="Arial" w:hAnsi="Arial" w:cs="Arial"/>
          <w:sz w:val="22"/>
          <w:szCs w:val="22"/>
        </w:rPr>
        <w:t xml:space="preserve"> (</w:t>
      </w:r>
      <w:r w:rsidR="00A13EFC">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1036BA18" w14:textId="77777777" w:rsidR="004F23D2" w:rsidRDefault="004F23D2" w:rsidP="00EC4998">
      <w:pPr>
        <w:rPr>
          <w:rFonts w:ascii="Arial" w:eastAsia="Arial" w:hAnsi="Arial" w:cs="Arial"/>
          <w:sz w:val="22"/>
          <w:szCs w:val="22"/>
        </w:rPr>
      </w:pPr>
    </w:p>
    <w:p w14:paraId="46385751" w14:textId="77777777" w:rsidR="004F23D2" w:rsidRDefault="004F23D2" w:rsidP="00EC4998">
      <w:pPr>
        <w:rPr>
          <w:rFonts w:ascii="Arial" w:eastAsia="Arial" w:hAnsi="Arial" w:cs="Arial"/>
          <w:sz w:val="22"/>
          <w:szCs w:val="22"/>
        </w:rPr>
      </w:pPr>
    </w:p>
    <w:p w14:paraId="4A19926E" w14:textId="77777777" w:rsidR="004F23D2" w:rsidRDefault="004F23D2" w:rsidP="00EC4998">
      <w:pPr>
        <w:rPr>
          <w:rFonts w:ascii="Arial" w:eastAsia="Arial" w:hAnsi="Arial" w:cs="Arial"/>
          <w:sz w:val="22"/>
          <w:szCs w:val="22"/>
        </w:rPr>
      </w:pP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B8BB05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proofErr w:type="spellStart"/>
      <w:r w:rsidR="008D1DA2">
        <w:rPr>
          <w:rFonts w:ascii="Arial" w:eastAsia="Arial Unicode MS" w:hAnsi="Arial" w:cs="Arial"/>
          <w:b/>
          <w:bCs/>
          <w:color w:val="000000"/>
          <w:sz w:val="22"/>
          <w:szCs w:val="22"/>
        </w:rPr>
        <w:t>Francisléia</w:t>
      </w:r>
      <w:proofErr w:type="spellEnd"/>
      <w:r w:rsidR="008D1DA2">
        <w:rPr>
          <w:rFonts w:ascii="Arial" w:eastAsia="Arial Unicode MS" w:hAnsi="Arial" w:cs="Arial"/>
          <w:b/>
          <w:bCs/>
          <w:color w:val="000000"/>
          <w:sz w:val="22"/>
          <w:szCs w:val="22"/>
        </w:rPr>
        <w:t xml:space="preserve"> Maria da Silva</w:t>
      </w:r>
      <w:r w:rsidR="00062EAD" w:rsidRPr="00062EAD">
        <w:rPr>
          <w:rFonts w:ascii="Arial" w:eastAsia="Arial Unicode MS" w:hAnsi="Arial" w:cs="Arial"/>
          <w:b/>
          <w:bCs/>
          <w:color w:val="000000"/>
          <w:sz w:val="22"/>
          <w:szCs w:val="22"/>
        </w:rPr>
        <w:t xml:space="preserve">, </w:t>
      </w:r>
      <w:r w:rsidR="008D1DA2">
        <w:rPr>
          <w:rFonts w:ascii="Arial" w:eastAsia="Arial Unicode MS" w:hAnsi="Arial" w:cs="Arial"/>
          <w:b/>
          <w:bCs/>
          <w:color w:val="000000"/>
          <w:sz w:val="22"/>
          <w:szCs w:val="22"/>
        </w:rPr>
        <w:t>inscrit</w:t>
      </w:r>
      <w:r w:rsidR="00062EAD" w:rsidRPr="00062EAD">
        <w:rPr>
          <w:rFonts w:ascii="Arial" w:eastAsia="Arial Unicode MS" w:hAnsi="Arial" w:cs="Arial"/>
          <w:b/>
          <w:bCs/>
          <w:color w:val="000000"/>
          <w:sz w:val="22"/>
          <w:szCs w:val="22"/>
        </w:rPr>
        <w:t xml:space="preserve">a </w:t>
      </w:r>
      <w:r w:rsidR="008D1DA2">
        <w:rPr>
          <w:rFonts w:ascii="Arial" w:eastAsia="Arial Unicode MS" w:hAnsi="Arial" w:cs="Arial"/>
          <w:b/>
          <w:bCs/>
          <w:color w:val="000000"/>
          <w:sz w:val="22"/>
          <w:szCs w:val="22"/>
        </w:rPr>
        <w:t>n</w:t>
      </w:r>
      <w:r w:rsidR="00062EAD" w:rsidRPr="00062EAD">
        <w:rPr>
          <w:rFonts w:ascii="Arial" w:eastAsia="Arial Unicode MS" w:hAnsi="Arial" w:cs="Arial"/>
          <w:b/>
          <w:bCs/>
          <w:color w:val="000000"/>
          <w:sz w:val="22"/>
          <w:szCs w:val="22"/>
        </w:rPr>
        <w:t xml:space="preserve">o CPF: </w:t>
      </w:r>
      <w:r w:rsidR="008D1DA2">
        <w:rPr>
          <w:rFonts w:ascii="Arial" w:eastAsia="Arial Unicode MS" w:hAnsi="Arial" w:cs="Arial"/>
          <w:b/>
          <w:bCs/>
          <w:color w:val="000000"/>
          <w:sz w:val="22"/>
          <w:szCs w:val="22"/>
        </w:rPr>
        <w:t>062</w:t>
      </w:r>
      <w:r w:rsidR="00062EAD" w:rsidRPr="00062EAD">
        <w:rPr>
          <w:rFonts w:ascii="Arial" w:eastAsia="Arial Unicode MS" w:hAnsi="Arial" w:cs="Arial"/>
          <w:b/>
          <w:bCs/>
          <w:color w:val="000000"/>
          <w:sz w:val="22"/>
          <w:szCs w:val="22"/>
        </w:rPr>
        <w:t>.</w:t>
      </w:r>
      <w:r w:rsidR="008D1DA2">
        <w:rPr>
          <w:rFonts w:ascii="Arial" w:eastAsia="Arial Unicode MS" w:hAnsi="Arial" w:cs="Arial"/>
          <w:b/>
          <w:bCs/>
          <w:color w:val="000000"/>
          <w:sz w:val="22"/>
          <w:szCs w:val="22"/>
        </w:rPr>
        <w:t>20</w:t>
      </w:r>
      <w:r w:rsidR="00062EAD" w:rsidRPr="00062EAD">
        <w:rPr>
          <w:rFonts w:ascii="Arial" w:eastAsia="Arial Unicode MS" w:hAnsi="Arial" w:cs="Arial"/>
          <w:b/>
          <w:bCs/>
          <w:color w:val="000000"/>
          <w:sz w:val="22"/>
          <w:szCs w:val="22"/>
        </w:rPr>
        <w:t>6.</w:t>
      </w:r>
      <w:r w:rsidR="008D1DA2">
        <w:rPr>
          <w:rFonts w:ascii="Arial" w:eastAsia="Arial Unicode MS" w:hAnsi="Arial" w:cs="Arial"/>
          <w:b/>
          <w:bCs/>
          <w:color w:val="000000"/>
          <w:sz w:val="22"/>
          <w:szCs w:val="22"/>
        </w:rPr>
        <w:t>78</w:t>
      </w:r>
      <w:r w:rsidR="00062EAD" w:rsidRPr="00062EAD">
        <w:rPr>
          <w:rFonts w:ascii="Arial" w:eastAsia="Arial Unicode MS" w:hAnsi="Arial" w:cs="Arial"/>
          <w:b/>
          <w:bCs/>
          <w:color w:val="000000"/>
          <w:sz w:val="22"/>
          <w:szCs w:val="22"/>
        </w:rPr>
        <w:t>6-</w:t>
      </w:r>
      <w:r w:rsidR="008D1DA2">
        <w:rPr>
          <w:rFonts w:ascii="Arial" w:eastAsia="Arial Unicode MS" w:hAnsi="Arial" w:cs="Arial"/>
          <w:b/>
          <w:bCs/>
          <w:color w:val="000000"/>
          <w:sz w:val="22"/>
          <w:szCs w:val="22"/>
        </w:rPr>
        <w:t>99</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925357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8D1DA2">
        <w:rPr>
          <w:rFonts w:ascii="Arial" w:hAnsi="Arial" w:cs="Arial"/>
          <w:sz w:val="22"/>
          <w:szCs w:val="22"/>
        </w:rPr>
        <w:t>0</w:t>
      </w:r>
      <w:r w:rsidR="00327604">
        <w:rPr>
          <w:rFonts w:ascii="Arial" w:hAnsi="Arial" w:cs="Arial"/>
          <w:sz w:val="22"/>
          <w:szCs w:val="22"/>
        </w:rPr>
        <w:t>3</w:t>
      </w:r>
      <w:r w:rsidRPr="003D600F">
        <w:rPr>
          <w:rFonts w:ascii="Arial" w:hAnsi="Arial" w:cs="Arial"/>
          <w:sz w:val="22"/>
          <w:szCs w:val="22"/>
        </w:rPr>
        <w:t xml:space="preserve"> de </w:t>
      </w:r>
      <w:r w:rsidR="008D1DA2">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8D1DA2">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194C9B">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0A8BC563" w14:textId="77777777" w:rsidR="00BD4B31" w:rsidRDefault="00BD4B31" w:rsidP="00BD4B31">
      <w:pPr>
        <w:rPr>
          <w:sz w:val="24"/>
          <w:szCs w:val="24"/>
        </w:rPr>
      </w:pPr>
    </w:p>
    <w:p w14:paraId="583BE9BD" w14:textId="77777777" w:rsidR="00194C9B" w:rsidRPr="00194C9B" w:rsidRDefault="00194C9B" w:rsidP="00194C9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94C9B">
        <w:rPr>
          <w:rFonts w:ascii="Arial" w:hAnsi="Arial" w:cs="Arial"/>
          <w:b/>
          <w:color w:val="000000" w:themeColor="text1"/>
          <w:sz w:val="22"/>
          <w:szCs w:val="22"/>
        </w:rPr>
        <w:t>OBJETO</w:t>
      </w:r>
    </w:p>
    <w:p w14:paraId="70B715A2" w14:textId="77777777" w:rsidR="00194C9B" w:rsidRPr="00194C9B" w:rsidRDefault="00194C9B" w:rsidP="00194C9B">
      <w:pPr>
        <w:pStyle w:val="PargrafodaLista"/>
        <w:widowControl w:val="0"/>
        <w:numPr>
          <w:ilvl w:val="1"/>
          <w:numId w:val="7"/>
        </w:numPr>
        <w:suppressAutoHyphens/>
        <w:spacing w:line="360" w:lineRule="auto"/>
        <w:ind w:left="709" w:hanging="578"/>
        <w:rPr>
          <w:rFonts w:ascii="Arial" w:hAnsi="Arial" w:cs="Arial"/>
          <w:sz w:val="22"/>
          <w:szCs w:val="22"/>
        </w:rPr>
      </w:pPr>
      <w:r w:rsidRPr="00194C9B">
        <w:rPr>
          <w:rFonts w:ascii="Arial" w:hAnsi="Arial" w:cs="Arial"/>
          <w:sz w:val="22"/>
          <w:szCs w:val="22"/>
        </w:rPr>
        <w:t>A presente licitação tem por objeto</w:t>
      </w:r>
      <w:r w:rsidRPr="00194C9B">
        <w:rPr>
          <w:rFonts w:ascii="Arial" w:hAnsi="Arial" w:cs="Arial"/>
          <w:color w:val="000000" w:themeColor="text1"/>
          <w:sz w:val="22"/>
          <w:szCs w:val="22"/>
        </w:rPr>
        <w:t xml:space="preserve"> à</w:t>
      </w:r>
      <w:r w:rsidRPr="00194C9B">
        <w:rPr>
          <w:rFonts w:ascii="Arial" w:hAnsi="Arial" w:cs="Arial"/>
          <w:sz w:val="22"/>
          <w:szCs w:val="22"/>
        </w:rPr>
        <w:t xml:space="preserve"> Contratação de Empresa Especializada para a elaboração do Projeto de Transporte Escolar, com produção dos elementos e instrumentalização das bases necessárias à parametrização das ferramentas de controle interno e externo, incluindo georreferenciamento dos itinerários e rotas, nos moldes conceituais estabelecidos pelos órgãos de controle do Município de Janaúba-MG. </w:t>
      </w:r>
    </w:p>
    <w:p w14:paraId="3AC5D27A" w14:textId="77777777" w:rsidR="00194C9B" w:rsidRPr="00194C9B" w:rsidRDefault="00194C9B" w:rsidP="00194C9B">
      <w:pPr>
        <w:pStyle w:val="PargrafodaLista"/>
        <w:widowControl w:val="0"/>
        <w:suppressAutoHyphens/>
        <w:spacing w:line="360" w:lineRule="auto"/>
        <w:ind w:left="709"/>
        <w:rPr>
          <w:rFonts w:ascii="Arial" w:hAnsi="Arial" w:cs="Arial"/>
          <w:sz w:val="22"/>
          <w:szCs w:val="22"/>
        </w:rPr>
      </w:pPr>
    </w:p>
    <w:p w14:paraId="52285814" w14:textId="77777777" w:rsidR="00194C9B" w:rsidRPr="00194C9B" w:rsidRDefault="00194C9B" w:rsidP="00194C9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94C9B">
        <w:rPr>
          <w:rFonts w:ascii="Arial" w:hAnsi="Arial" w:cs="Arial"/>
          <w:b/>
          <w:color w:val="000000" w:themeColor="text1"/>
          <w:sz w:val="22"/>
          <w:szCs w:val="22"/>
        </w:rPr>
        <w:t>JUSTIFICATIVA</w:t>
      </w:r>
    </w:p>
    <w:p w14:paraId="3D4BE35E"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A Secretaria Municipal de Educação de Janaúba-MG, diante das deficiências constatadas na execução dos serviços de transporte escolar, reconhece a necessidade urgente de revisar, planejar e otimizar os itinerários e rotas vigentes. A atual situação demanda a criação de um Projeto de Transporte Escolar que atenda tanto às exigências legais quanto às necessidades práticas de alunos e famílias, proporcionando um serviço mais eficiente, eficaz, efetivo e econômico.</w:t>
      </w:r>
    </w:p>
    <w:p w14:paraId="235E6A23"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Observou-se que a execução dos serviços de transporte escolar tem apresentado falhas que comprometem a qualidade do atendimento aos alunos. Tais deficiências podem afetar o cumprimento do calendário letivo, prejudicando a continuidade do processo educacional, o que torna imprescindível a reavaliação dos itinerários e rotas adotadas, a fim de garantir maior eficiência e aproveitamento dos recursos públicos.</w:t>
      </w:r>
    </w:p>
    <w:p w14:paraId="781A8426"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A elaboração do Projeto de Transporte Escolar se justifica pela necessidade de apurar a regularidade dos itinerários e rotas, conforme as prescrições dos órgãos de controle do Município. A otimização desses serviços visa à melhoria do atendimento à comunidade escolar, garantindo maior eficiência no uso do transporte, a redução de custos e o atendimento das necessidades logísticas de maneira mais eficaz.</w:t>
      </w:r>
    </w:p>
    <w:p w14:paraId="2C4C91EE"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A contratação de empresa especializada para a realização desse projeto se alinha com os preceitos da Constituição Federal de 1988, que, em seus artigos 5º, 6º, 205, 206 e 211, garante a educação como direito fundamental. Além disso, a Lei nº 9.394/1996, que estabelece as Diretrizes e Bases da Educação Nacional, atribui aos entes federados (estados e municípios) a responsabilidade pelo transporte escolar dos alunos da rede pública. A otimização do transporte escolar, portanto, não só é uma obrigação legal, mas também um compromisso com o direito constitucional à educação de qualidade e à inclusão social.</w:t>
      </w:r>
    </w:p>
    <w:p w14:paraId="10870F23"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lastRenderedPageBreak/>
        <w:t>Dada a complexidade do projeto, a necessidade de georreferenciamento dos itinerários e rotas, além da elaboração de um conjunto robusto de elementos e ferramentas de controle interno e externo, é evidente que o Município de Janaúba não dispõe dos recursos humanos e materiais qualificados para realizar essa tarefa internamente. A contratação de uma empresa especializada se torna, portanto, uma solução imprescindível para garantir a execução eficiente e tecnicamente qualificada do projeto.</w:t>
      </w:r>
    </w:p>
    <w:p w14:paraId="285C639E"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A Secretaria Municipal de Educação tem a responsabilidade legal e administrativa de garantir a efetividade do calendário letivo, que no ano de 2025 deve ser cumprido de forma integral. O planejamento e a execução adequados do transporte escolar são fundamentais para o cumprimento desta tarefa. A criação de um Projeto de Transporte Escolar atualizado e otimizado é condição essencial para assegurar que os alunos cheguem às unidades de ensino de forma segura e pontual, garantindo o direito à educação.</w:t>
      </w:r>
    </w:p>
    <w:p w14:paraId="7B667D2F" w14:textId="77777777" w:rsidR="00194C9B" w:rsidRPr="00194C9B" w:rsidRDefault="00194C9B" w:rsidP="00194C9B">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194C9B">
        <w:rPr>
          <w:rFonts w:ascii="Arial" w:hAnsi="Arial" w:cs="Arial"/>
          <w:color w:val="000000" w:themeColor="text1"/>
          <w:sz w:val="22"/>
          <w:szCs w:val="22"/>
        </w:rPr>
        <w:t>Diante do exposto, a contratação de uma empresa especializada para a elaboração do Projeto de Transporte Escolar, com os requisitos técnicos necessários e a observância das normas legais e de fiscalização, se justifica plenamente. A otimização dos serviços e a regularização dos itinerários e rotas são imprescindíveis para a melhoria do transporte escolar em Janaúba, visando garantir a educação pública de qualidade para todos os alunos da rede municipal.</w:t>
      </w:r>
    </w:p>
    <w:p w14:paraId="25DD7DA5" w14:textId="77777777" w:rsidR="00194C9B" w:rsidRPr="00194C9B" w:rsidRDefault="00194C9B" w:rsidP="00194C9B">
      <w:pPr>
        <w:pStyle w:val="PargrafodaLista"/>
        <w:widowControl w:val="0"/>
        <w:suppressAutoHyphens/>
        <w:spacing w:line="360" w:lineRule="auto"/>
        <w:ind w:left="709"/>
        <w:rPr>
          <w:rFonts w:ascii="Arial" w:hAnsi="Arial" w:cs="Arial"/>
          <w:color w:val="000000" w:themeColor="text1"/>
          <w:sz w:val="22"/>
          <w:szCs w:val="22"/>
        </w:rPr>
      </w:pPr>
    </w:p>
    <w:p w14:paraId="3D29E94D" w14:textId="77777777"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ESPECIFICAÇÃO DO OBJETO</w:t>
      </w:r>
    </w:p>
    <w:tbl>
      <w:tblPr>
        <w:tblW w:w="9357" w:type="dxa"/>
        <w:jc w:val="center"/>
        <w:tblCellMar>
          <w:left w:w="70" w:type="dxa"/>
          <w:right w:w="70" w:type="dxa"/>
        </w:tblCellMar>
        <w:tblLook w:val="04A0" w:firstRow="1" w:lastRow="0" w:firstColumn="1" w:lastColumn="0" w:noHBand="0" w:noVBand="1"/>
      </w:tblPr>
      <w:tblGrid>
        <w:gridCol w:w="846"/>
        <w:gridCol w:w="3827"/>
        <w:gridCol w:w="1143"/>
        <w:gridCol w:w="990"/>
        <w:gridCol w:w="1278"/>
        <w:gridCol w:w="1273"/>
      </w:tblGrid>
      <w:tr w:rsidR="00194C9B" w:rsidRPr="00194C9B" w14:paraId="51A8B776" w14:textId="77777777" w:rsidTr="00194C9B">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2255" w14:textId="77777777" w:rsidR="00194C9B" w:rsidRPr="00194C9B" w:rsidRDefault="00194C9B" w:rsidP="003D5545">
            <w:pPr>
              <w:jc w:val="center"/>
              <w:rPr>
                <w:rFonts w:ascii="Arial" w:hAnsi="Arial" w:cs="Arial"/>
                <w:b/>
                <w:color w:val="000000"/>
                <w:sz w:val="22"/>
                <w:szCs w:val="22"/>
              </w:rPr>
            </w:pPr>
            <w:r w:rsidRPr="00194C9B">
              <w:rPr>
                <w:rFonts w:ascii="Arial" w:hAnsi="Arial" w:cs="Arial"/>
                <w:b/>
                <w:color w:val="000000"/>
                <w:sz w:val="22"/>
                <w:szCs w:val="22"/>
              </w:rPr>
              <w:t>ITEM</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75F56A0A" w14:textId="77777777" w:rsidR="00194C9B" w:rsidRPr="00194C9B" w:rsidRDefault="00194C9B" w:rsidP="003D5545">
            <w:pPr>
              <w:jc w:val="center"/>
              <w:rPr>
                <w:rFonts w:ascii="Arial" w:hAnsi="Arial" w:cs="Arial"/>
                <w:b/>
                <w:bCs/>
                <w:color w:val="000000"/>
                <w:sz w:val="22"/>
                <w:szCs w:val="22"/>
              </w:rPr>
            </w:pPr>
            <w:r w:rsidRPr="00194C9B">
              <w:rPr>
                <w:rFonts w:ascii="Arial" w:hAnsi="Arial" w:cs="Arial"/>
                <w:b/>
                <w:bCs/>
                <w:color w:val="000000"/>
                <w:sz w:val="22"/>
                <w:szCs w:val="22"/>
              </w:rPr>
              <w:t>DESCRIÇÃO</w:t>
            </w:r>
          </w:p>
        </w:tc>
        <w:tc>
          <w:tcPr>
            <w:tcW w:w="1143" w:type="dxa"/>
            <w:tcBorders>
              <w:top w:val="single" w:sz="4" w:space="0" w:color="auto"/>
              <w:left w:val="nil"/>
              <w:bottom w:val="single" w:sz="4" w:space="0" w:color="auto"/>
              <w:right w:val="single" w:sz="4" w:space="0" w:color="auto"/>
            </w:tcBorders>
            <w:vAlign w:val="center"/>
          </w:tcPr>
          <w:p w14:paraId="75240FC4" w14:textId="77777777" w:rsidR="00194C9B" w:rsidRPr="00194C9B" w:rsidRDefault="00194C9B" w:rsidP="003D5545">
            <w:pPr>
              <w:jc w:val="center"/>
              <w:rPr>
                <w:rFonts w:ascii="Arial" w:hAnsi="Arial" w:cs="Arial"/>
                <w:b/>
                <w:color w:val="000000"/>
                <w:sz w:val="22"/>
                <w:szCs w:val="22"/>
              </w:rPr>
            </w:pPr>
            <w:r w:rsidRPr="00194C9B">
              <w:rPr>
                <w:rFonts w:ascii="Arial" w:hAnsi="Arial" w:cs="Arial"/>
                <w:b/>
                <w:color w:val="000000"/>
                <w:sz w:val="22"/>
                <w:szCs w:val="22"/>
              </w:rPr>
              <w:t>UNIDADE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6EEB4" w14:textId="536C94C6" w:rsidR="00194C9B" w:rsidRPr="00194C9B" w:rsidRDefault="00194C9B" w:rsidP="003D5545">
            <w:pPr>
              <w:jc w:val="center"/>
              <w:rPr>
                <w:rFonts w:ascii="Arial" w:hAnsi="Arial" w:cs="Arial"/>
                <w:b/>
                <w:color w:val="000000"/>
                <w:sz w:val="22"/>
                <w:szCs w:val="22"/>
              </w:rPr>
            </w:pPr>
            <w:r w:rsidRPr="00194C9B">
              <w:rPr>
                <w:rFonts w:ascii="Arial" w:hAnsi="Arial" w:cs="Arial"/>
                <w:b/>
                <w:color w:val="000000"/>
                <w:sz w:val="22"/>
                <w:szCs w:val="22"/>
              </w:rPr>
              <w:t>QUANT</w:t>
            </w:r>
            <w:r>
              <w:rPr>
                <w:rFonts w:ascii="Arial" w:hAnsi="Arial" w:cs="Arial"/>
                <w:b/>
                <w:color w:val="000000"/>
                <w:sz w:val="22"/>
                <w:szCs w:val="22"/>
              </w:rPr>
              <w:t>.</w:t>
            </w:r>
          </w:p>
        </w:tc>
        <w:tc>
          <w:tcPr>
            <w:tcW w:w="1278" w:type="dxa"/>
            <w:tcBorders>
              <w:top w:val="single" w:sz="4" w:space="0" w:color="auto"/>
              <w:left w:val="single" w:sz="4" w:space="0" w:color="auto"/>
              <w:bottom w:val="single" w:sz="4" w:space="0" w:color="auto"/>
              <w:right w:val="single" w:sz="4" w:space="0" w:color="auto"/>
            </w:tcBorders>
            <w:vAlign w:val="center"/>
          </w:tcPr>
          <w:p w14:paraId="7635EDCA" w14:textId="77777777" w:rsidR="00194C9B" w:rsidRPr="00194C9B" w:rsidRDefault="00194C9B" w:rsidP="003D5545">
            <w:pPr>
              <w:jc w:val="center"/>
              <w:rPr>
                <w:rFonts w:ascii="Arial" w:hAnsi="Arial" w:cs="Arial"/>
                <w:b/>
                <w:color w:val="000000"/>
                <w:sz w:val="22"/>
                <w:szCs w:val="22"/>
              </w:rPr>
            </w:pPr>
            <w:r w:rsidRPr="00194C9B">
              <w:rPr>
                <w:rFonts w:ascii="Arial" w:hAnsi="Arial" w:cs="Arial"/>
                <w:b/>
                <w:color w:val="000000"/>
                <w:sz w:val="22"/>
                <w:szCs w:val="22"/>
              </w:rPr>
              <w:t>VALOR MÉDIA</w:t>
            </w:r>
          </w:p>
        </w:tc>
        <w:tc>
          <w:tcPr>
            <w:tcW w:w="1273" w:type="dxa"/>
            <w:tcBorders>
              <w:top w:val="single" w:sz="4" w:space="0" w:color="auto"/>
              <w:left w:val="single" w:sz="4" w:space="0" w:color="auto"/>
              <w:bottom w:val="single" w:sz="4" w:space="0" w:color="auto"/>
              <w:right w:val="single" w:sz="4" w:space="0" w:color="auto"/>
            </w:tcBorders>
            <w:vAlign w:val="center"/>
          </w:tcPr>
          <w:p w14:paraId="556D0013" w14:textId="77777777" w:rsidR="00194C9B" w:rsidRPr="00194C9B" w:rsidRDefault="00194C9B" w:rsidP="003D5545">
            <w:pPr>
              <w:spacing w:line="360" w:lineRule="auto"/>
              <w:jc w:val="center"/>
              <w:rPr>
                <w:rFonts w:ascii="Arial" w:hAnsi="Arial" w:cs="Arial"/>
                <w:b/>
                <w:color w:val="000000"/>
                <w:sz w:val="22"/>
                <w:szCs w:val="22"/>
              </w:rPr>
            </w:pPr>
            <w:r w:rsidRPr="00194C9B">
              <w:rPr>
                <w:rFonts w:ascii="Arial" w:hAnsi="Arial" w:cs="Arial"/>
                <w:b/>
                <w:color w:val="000000"/>
                <w:sz w:val="22"/>
                <w:szCs w:val="22"/>
              </w:rPr>
              <w:t>VALOR TOTAL</w:t>
            </w:r>
          </w:p>
        </w:tc>
      </w:tr>
      <w:tr w:rsidR="00194C9B" w:rsidRPr="00194C9B" w14:paraId="0B5F6606" w14:textId="77777777" w:rsidTr="00194C9B">
        <w:trPr>
          <w:trHeight w:val="153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930C8C" w14:textId="77777777" w:rsidR="00194C9B" w:rsidRPr="00194C9B" w:rsidRDefault="00194C9B" w:rsidP="003D5545">
            <w:pPr>
              <w:jc w:val="center"/>
              <w:rPr>
                <w:rFonts w:ascii="Arial" w:hAnsi="Arial" w:cs="Arial"/>
                <w:color w:val="000000"/>
                <w:sz w:val="22"/>
                <w:szCs w:val="22"/>
              </w:rPr>
            </w:pPr>
          </w:p>
          <w:p w14:paraId="3455392B" w14:textId="77777777" w:rsidR="00194C9B" w:rsidRPr="00194C9B" w:rsidRDefault="00194C9B" w:rsidP="003D5545">
            <w:pPr>
              <w:jc w:val="center"/>
              <w:rPr>
                <w:rFonts w:ascii="Arial" w:hAnsi="Arial" w:cs="Arial"/>
                <w:color w:val="000000"/>
                <w:sz w:val="22"/>
                <w:szCs w:val="22"/>
              </w:rPr>
            </w:pPr>
          </w:p>
          <w:p w14:paraId="447EE616" w14:textId="77777777" w:rsidR="00194C9B" w:rsidRPr="00194C9B" w:rsidRDefault="00194C9B" w:rsidP="003D5545">
            <w:pPr>
              <w:jc w:val="center"/>
              <w:rPr>
                <w:rFonts w:ascii="Arial" w:hAnsi="Arial" w:cs="Arial"/>
                <w:color w:val="000000"/>
                <w:sz w:val="22"/>
                <w:szCs w:val="22"/>
              </w:rPr>
            </w:pPr>
            <w:r w:rsidRPr="00194C9B">
              <w:rPr>
                <w:rFonts w:ascii="Arial" w:hAnsi="Arial" w:cs="Arial"/>
                <w:color w:val="000000"/>
                <w:sz w:val="22"/>
                <w:szCs w:val="22"/>
              </w:rPr>
              <w:t>1</w:t>
            </w:r>
          </w:p>
          <w:p w14:paraId="534DAE10" w14:textId="77777777" w:rsidR="00194C9B" w:rsidRPr="00194C9B" w:rsidRDefault="00194C9B" w:rsidP="003D5545">
            <w:pPr>
              <w:jc w:val="right"/>
              <w:rPr>
                <w:rFonts w:ascii="Arial" w:hAnsi="Arial" w:cs="Arial"/>
                <w:color w:val="000000"/>
                <w:sz w:val="22"/>
                <w:szCs w:val="22"/>
              </w:rPr>
            </w:pPr>
          </w:p>
          <w:p w14:paraId="661B6E02" w14:textId="77777777" w:rsidR="00194C9B" w:rsidRPr="00194C9B" w:rsidRDefault="00194C9B" w:rsidP="003D5545">
            <w:pPr>
              <w:jc w:val="right"/>
              <w:rPr>
                <w:rFonts w:ascii="Arial" w:hAnsi="Arial" w:cs="Arial"/>
                <w:color w:val="000000"/>
                <w:sz w:val="22"/>
                <w:szCs w:val="22"/>
              </w:rPr>
            </w:pPr>
          </w:p>
        </w:tc>
        <w:tc>
          <w:tcPr>
            <w:tcW w:w="3827" w:type="dxa"/>
            <w:tcBorders>
              <w:top w:val="nil"/>
              <w:left w:val="nil"/>
              <w:bottom w:val="single" w:sz="4" w:space="0" w:color="auto"/>
              <w:right w:val="single" w:sz="4" w:space="0" w:color="auto"/>
            </w:tcBorders>
            <w:shd w:val="clear" w:color="auto" w:fill="auto"/>
            <w:noWrap/>
            <w:vAlign w:val="bottom"/>
            <w:hideMark/>
          </w:tcPr>
          <w:p w14:paraId="45582688" w14:textId="77777777" w:rsidR="00194C9B" w:rsidRPr="00194C9B" w:rsidRDefault="00194C9B" w:rsidP="003D5545">
            <w:pPr>
              <w:rPr>
                <w:rFonts w:ascii="Arial" w:hAnsi="Arial" w:cs="Arial"/>
                <w:color w:val="000000" w:themeColor="text1"/>
                <w:sz w:val="22"/>
                <w:szCs w:val="22"/>
              </w:rPr>
            </w:pPr>
            <w:r w:rsidRPr="00194C9B">
              <w:rPr>
                <w:rFonts w:ascii="Arial" w:hAnsi="Arial" w:cs="Arial"/>
                <w:sz w:val="22"/>
                <w:szCs w:val="22"/>
              </w:rPr>
              <w:t>Elaboração do Projeto de Transporte Escolar, com produção dos elementos e instrumentalização das bases necessárias à parametrização das ferramentas de controle interno e externo, incluindo georreferenciamento dos itinerários e rotas, nos moldes conceituais estabelecidos pelos órgãos de controle.</w:t>
            </w:r>
          </w:p>
          <w:p w14:paraId="61CB0725" w14:textId="77777777" w:rsidR="00194C9B" w:rsidRPr="00194C9B" w:rsidRDefault="00194C9B" w:rsidP="003D5545">
            <w:pPr>
              <w:rPr>
                <w:rFonts w:ascii="Arial" w:hAnsi="Arial" w:cs="Arial"/>
                <w:color w:val="000000" w:themeColor="text1"/>
                <w:sz w:val="22"/>
                <w:szCs w:val="22"/>
              </w:rPr>
            </w:pPr>
          </w:p>
        </w:tc>
        <w:tc>
          <w:tcPr>
            <w:tcW w:w="1143" w:type="dxa"/>
            <w:tcBorders>
              <w:top w:val="single" w:sz="4" w:space="0" w:color="auto"/>
              <w:left w:val="nil"/>
              <w:bottom w:val="single" w:sz="4" w:space="0" w:color="auto"/>
              <w:right w:val="single" w:sz="4" w:space="0" w:color="auto"/>
            </w:tcBorders>
          </w:tcPr>
          <w:p w14:paraId="44DE0B2E" w14:textId="77777777" w:rsidR="00194C9B" w:rsidRPr="00194C9B" w:rsidRDefault="00194C9B" w:rsidP="003D5545">
            <w:pPr>
              <w:jc w:val="center"/>
              <w:rPr>
                <w:rFonts w:ascii="Arial" w:hAnsi="Arial" w:cs="Arial"/>
                <w:color w:val="000000"/>
                <w:sz w:val="22"/>
                <w:szCs w:val="22"/>
              </w:rPr>
            </w:pPr>
          </w:p>
          <w:p w14:paraId="155FBD67" w14:textId="77777777" w:rsidR="00194C9B" w:rsidRPr="00194C9B" w:rsidRDefault="00194C9B" w:rsidP="003D5545">
            <w:pPr>
              <w:jc w:val="center"/>
              <w:rPr>
                <w:rFonts w:ascii="Arial" w:hAnsi="Arial" w:cs="Arial"/>
                <w:color w:val="000000"/>
                <w:sz w:val="22"/>
                <w:szCs w:val="22"/>
              </w:rPr>
            </w:pPr>
          </w:p>
          <w:p w14:paraId="14F1DC28" w14:textId="77777777" w:rsidR="00194C9B" w:rsidRPr="00194C9B" w:rsidRDefault="00194C9B" w:rsidP="003D5545">
            <w:pPr>
              <w:jc w:val="center"/>
              <w:rPr>
                <w:rFonts w:ascii="Arial" w:hAnsi="Arial" w:cs="Arial"/>
                <w:color w:val="000000"/>
                <w:sz w:val="22"/>
                <w:szCs w:val="22"/>
              </w:rPr>
            </w:pPr>
          </w:p>
          <w:p w14:paraId="1D97A5CD" w14:textId="77777777" w:rsidR="00194C9B" w:rsidRPr="00194C9B" w:rsidRDefault="00194C9B" w:rsidP="003D5545">
            <w:pPr>
              <w:jc w:val="center"/>
              <w:rPr>
                <w:rFonts w:ascii="Arial" w:hAnsi="Arial" w:cs="Arial"/>
                <w:color w:val="000000"/>
                <w:sz w:val="22"/>
                <w:szCs w:val="22"/>
              </w:rPr>
            </w:pPr>
          </w:p>
          <w:p w14:paraId="5DC076F2" w14:textId="77777777" w:rsidR="00194C9B" w:rsidRPr="00194C9B" w:rsidRDefault="00194C9B" w:rsidP="003D5545">
            <w:pPr>
              <w:jc w:val="center"/>
              <w:rPr>
                <w:rFonts w:ascii="Arial" w:hAnsi="Arial" w:cs="Arial"/>
                <w:color w:val="000000"/>
                <w:sz w:val="22"/>
                <w:szCs w:val="22"/>
              </w:rPr>
            </w:pPr>
            <w:r w:rsidRPr="00194C9B">
              <w:rPr>
                <w:rFonts w:ascii="Arial" w:hAnsi="Arial" w:cs="Arial"/>
                <w:color w:val="000000"/>
                <w:sz w:val="22"/>
                <w:szCs w:val="22"/>
              </w:rPr>
              <w:t>Serviço</w:t>
            </w:r>
          </w:p>
        </w:tc>
        <w:tc>
          <w:tcPr>
            <w:tcW w:w="990" w:type="dxa"/>
            <w:tcBorders>
              <w:top w:val="nil"/>
              <w:left w:val="single" w:sz="4" w:space="0" w:color="auto"/>
              <w:bottom w:val="single" w:sz="4" w:space="0" w:color="auto"/>
              <w:right w:val="single" w:sz="4" w:space="0" w:color="auto"/>
            </w:tcBorders>
            <w:shd w:val="clear" w:color="auto" w:fill="auto"/>
            <w:noWrap/>
            <w:hideMark/>
          </w:tcPr>
          <w:p w14:paraId="3BA01B13" w14:textId="77777777" w:rsidR="00194C9B" w:rsidRPr="00194C9B" w:rsidRDefault="00194C9B" w:rsidP="003D5545">
            <w:pPr>
              <w:jc w:val="center"/>
              <w:rPr>
                <w:rFonts w:ascii="Arial" w:hAnsi="Arial" w:cs="Arial"/>
                <w:sz w:val="22"/>
                <w:szCs w:val="22"/>
              </w:rPr>
            </w:pPr>
          </w:p>
          <w:p w14:paraId="083B76BB" w14:textId="77777777" w:rsidR="00194C9B" w:rsidRPr="00194C9B" w:rsidRDefault="00194C9B" w:rsidP="003D5545">
            <w:pPr>
              <w:jc w:val="center"/>
              <w:rPr>
                <w:rFonts w:ascii="Arial" w:hAnsi="Arial" w:cs="Arial"/>
                <w:sz w:val="22"/>
                <w:szCs w:val="22"/>
              </w:rPr>
            </w:pPr>
          </w:p>
          <w:p w14:paraId="2FCB5903" w14:textId="77777777" w:rsidR="00194C9B" w:rsidRDefault="00194C9B" w:rsidP="003D5545">
            <w:pPr>
              <w:jc w:val="center"/>
              <w:rPr>
                <w:rFonts w:ascii="Arial" w:hAnsi="Arial" w:cs="Arial"/>
                <w:sz w:val="22"/>
                <w:szCs w:val="22"/>
              </w:rPr>
            </w:pPr>
          </w:p>
          <w:p w14:paraId="7412F701" w14:textId="77777777" w:rsidR="00194C9B" w:rsidRDefault="00194C9B" w:rsidP="003D5545">
            <w:pPr>
              <w:jc w:val="center"/>
              <w:rPr>
                <w:rFonts w:ascii="Arial" w:hAnsi="Arial" w:cs="Arial"/>
                <w:sz w:val="22"/>
                <w:szCs w:val="22"/>
              </w:rPr>
            </w:pPr>
          </w:p>
          <w:p w14:paraId="6C469AB4" w14:textId="2722909F" w:rsidR="00194C9B" w:rsidRPr="00194C9B" w:rsidRDefault="00194C9B" w:rsidP="003D5545">
            <w:pPr>
              <w:jc w:val="center"/>
              <w:rPr>
                <w:rFonts w:ascii="Arial" w:hAnsi="Arial" w:cs="Arial"/>
                <w:sz w:val="22"/>
                <w:szCs w:val="22"/>
              </w:rPr>
            </w:pPr>
            <w:r w:rsidRPr="00194C9B">
              <w:rPr>
                <w:rFonts w:ascii="Arial" w:hAnsi="Arial" w:cs="Arial"/>
                <w:sz w:val="22"/>
                <w:szCs w:val="22"/>
              </w:rPr>
              <w:t>63</w:t>
            </w:r>
          </w:p>
        </w:tc>
        <w:tc>
          <w:tcPr>
            <w:tcW w:w="1278" w:type="dxa"/>
            <w:tcBorders>
              <w:top w:val="nil"/>
              <w:left w:val="single" w:sz="4" w:space="0" w:color="auto"/>
              <w:bottom w:val="single" w:sz="4" w:space="0" w:color="auto"/>
              <w:right w:val="single" w:sz="4" w:space="0" w:color="auto"/>
            </w:tcBorders>
          </w:tcPr>
          <w:p w14:paraId="6BA9E320" w14:textId="77777777" w:rsidR="00194C9B" w:rsidRPr="00194C9B" w:rsidRDefault="00194C9B" w:rsidP="003D5545">
            <w:pPr>
              <w:jc w:val="center"/>
              <w:rPr>
                <w:rFonts w:ascii="Arial" w:hAnsi="Arial" w:cs="Arial"/>
                <w:sz w:val="22"/>
                <w:szCs w:val="22"/>
              </w:rPr>
            </w:pPr>
          </w:p>
          <w:p w14:paraId="6F7B26A7" w14:textId="77777777" w:rsidR="00194C9B" w:rsidRDefault="00194C9B" w:rsidP="003D5545">
            <w:pPr>
              <w:jc w:val="center"/>
              <w:rPr>
                <w:rFonts w:ascii="Arial" w:hAnsi="Arial" w:cs="Arial"/>
                <w:sz w:val="22"/>
                <w:szCs w:val="22"/>
              </w:rPr>
            </w:pPr>
          </w:p>
          <w:p w14:paraId="0C64AD82" w14:textId="77777777" w:rsidR="00194C9B" w:rsidRDefault="00194C9B" w:rsidP="003D5545">
            <w:pPr>
              <w:jc w:val="center"/>
              <w:rPr>
                <w:rFonts w:ascii="Arial" w:hAnsi="Arial" w:cs="Arial"/>
                <w:sz w:val="22"/>
                <w:szCs w:val="22"/>
              </w:rPr>
            </w:pPr>
          </w:p>
          <w:p w14:paraId="614B7536" w14:textId="77777777" w:rsidR="00194C9B" w:rsidRPr="00194C9B" w:rsidRDefault="00194C9B" w:rsidP="003D5545">
            <w:pPr>
              <w:jc w:val="center"/>
              <w:rPr>
                <w:rFonts w:ascii="Arial" w:hAnsi="Arial" w:cs="Arial"/>
                <w:sz w:val="22"/>
                <w:szCs w:val="22"/>
              </w:rPr>
            </w:pPr>
          </w:p>
          <w:p w14:paraId="6286C163" w14:textId="169ADA00" w:rsidR="00194C9B" w:rsidRPr="00194C9B" w:rsidRDefault="00194C9B" w:rsidP="003D5545">
            <w:pPr>
              <w:jc w:val="center"/>
              <w:rPr>
                <w:rFonts w:ascii="Arial" w:hAnsi="Arial" w:cs="Arial"/>
                <w:sz w:val="22"/>
                <w:szCs w:val="22"/>
              </w:rPr>
            </w:pPr>
            <w:r w:rsidRPr="00194C9B">
              <w:rPr>
                <w:rFonts w:ascii="Arial" w:hAnsi="Arial" w:cs="Arial"/>
                <w:sz w:val="22"/>
                <w:szCs w:val="22"/>
              </w:rPr>
              <w:t>R$</w:t>
            </w:r>
            <w:r>
              <w:rPr>
                <w:rFonts w:ascii="Arial" w:hAnsi="Arial" w:cs="Arial"/>
                <w:sz w:val="22"/>
                <w:szCs w:val="22"/>
              </w:rPr>
              <w:t xml:space="preserve"> </w:t>
            </w:r>
            <w:r w:rsidRPr="00194C9B">
              <w:rPr>
                <w:rFonts w:ascii="Arial" w:hAnsi="Arial" w:cs="Arial"/>
                <w:sz w:val="22"/>
                <w:szCs w:val="22"/>
              </w:rPr>
              <w:t>1.755,44</w:t>
            </w:r>
          </w:p>
        </w:tc>
        <w:tc>
          <w:tcPr>
            <w:tcW w:w="1273" w:type="dxa"/>
            <w:tcBorders>
              <w:top w:val="nil"/>
              <w:left w:val="single" w:sz="4" w:space="0" w:color="auto"/>
              <w:bottom w:val="single" w:sz="4" w:space="0" w:color="auto"/>
              <w:right w:val="single" w:sz="4" w:space="0" w:color="auto"/>
            </w:tcBorders>
          </w:tcPr>
          <w:p w14:paraId="66B5E262" w14:textId="77777777" w:rsidR="00194C9B" w:rsidRPr="00194C9B" w:rsidRDefault="00194C9B" w:rsidP="003D5545">
            <w:pPr>
              <w:jc w:val="center"/>
              <w:rPr>
                <w:rFonts w:ascii="Arial" w:hAnsi="Arial" w:cs="Arial"/>
                <w:sz w:val="22"/>
                <w:szCs w:val="22"/>
              </w:rPr>
            </w:pPr>
          </w:p>
          <w:p w14:paraId="6ABAA742" w14:textId="77777777" w:rsidR="00194C9B" w:rsidRDefault="00194C9B" w:rsidP="003D5545">
            <w:pPr>
              <w:jc w:val="center"/>
              <w:rPr>
                <w:rFonts w:ascii="Arial" w:hAnsi="Arial" w:cs="Arial"/>
                <w:sz w:val="22"/>
                <w:szCs w:val="22"/>
              </w:rPr>
            </w:pPr>
          </w:p>
          <w:p w14:paraId="762A959E" w14:textId="77777777" w:rsidR="00194C9B" w:rsidRDefault="00194C9B" w:rsidP="003D5545">
            <w:pPr>
              <w:jc w:val="center"/>
              <w:rPr>
                <w:rFonts w:ascii="Arial" w:hAnsi="Arial" w:cs="Arial"/>
                <w:sz w:val="22"/>
                <w:szCs w:val="22"/>
              </w:rPr>
            </w:pPr>
          </w:p>
          <w:p w14:paraId="47A6A8F5" w14:textId="77777777" w:rsidR="00194C9B" w:rsidRPr="00194C9B" w:rsidRDefault="00194C9B" w:rsidP="003D5545">
            <w:pPr>
              <w:jc w:val="center"/>
              <w:rPr>
                <w:rFonts w:ascii="Arial" w:hAnsi="Arial" w:cs="Arial"/>
                <w:sz w:val="22"/>
                <w:szCs w:val="22"/>
              </w:rPr>
            </w:pPr>
          </w:p>
          <w:p w14:paraId="15AF9121" w14:textId="77777777" w:rsidR="00194C9B" w:rsidRPr="00194C9B" w:rsidRDefault="00194C9B" w:rsidP="003D5545">
            <w:pPr>
              <w:jc w:val="center"/>
              <w:rPr>
                <w:rFonts w:ascii="Arial" w:hAnsi="Arial" w:cs="Arial"/>
                <w:sz w:val="22"/>
                <w:szCs w:val="22"/>
              </w:rPr>
            </w:pPr>
            <w:r w:rsidRPr="00194C9B">
              <w:rPr>
                <w:rFonts w:ascii="Arial" w:hAnsi="Arial" w:cs="Arial"/>
                <w:sz w:val="22"/>
                <w:szCs w:val="22"/>
              </w:rPr>
              <w:t>R$ 110.592,72</w:t>
            </w:r>
          </w:p>
        </w:tc>
      </w:tr>
    </w:tbl>
    <w:p w14:paraId="65D9AF25" w14:textId="77777777" w:rsidR="00194C9B" w:rsidRPr="00194C9B" w:rsidRDefault="00194C9B" w:rsidP="00194C9B">
      <w:pPr>
        <w:rPr>
          <w:rFonts w:ascii="Arial" w:hAnsi="Arial" w:cs="Arial"/>
          <w:color w:val="000000" w:themeColor="text1"/>
          <w:sz w:val="22"/>
          <w:szCs w:val="22"/>
        </w:rPr>
      </w:pPr>
    </w:p>
    <w:p w14:paraId="6B211CC5" w14:textId="77777777" w:rsidR="00194C9B" w:rsidRPr="00194C9B" w:rsidRDefault="00194C9B" w:rsidP="00194C9B">
      <w:pPr>
        <w:pStyle w:val="TextoMarcador"/>
        <w:rPr>
          <w:rFonts w:ascii="Arial" w:hAnsi="Arial" w:cs="Arial"/>
          <w:sz w:val="22"/>
          <w:szCs w:val="22"/>
        </w:rPr>
      </w:pPr>
      <w:r w:rsidRPr="00194C9B">
        <w:rPr>
          <w:rFonts w:ascii="Arial" w:hAnsi="Arial" w:cs="Arial"/>
          <w:sz w:val="22"/>
          <w:szCs w:val="22"/>
        </w:rPr>
        <w:t>INICIALMENTE O CRONOGRAMA DE EXECUÇÃO, COMPREENDE AS SEGUINTES ATIVIDADE E PRAZOS:</w:t>
      </w:r>
    </w:p>
    <w:p w14:paraId="705994D8" w14:textId="77777777" w:rsidR="00194C9B" w:rsidRPr="00194C9B" w:rsidRDefault="00194C9B" w:rsidP="00194C9B">
      <w:pPr>
        <w:rPr>
          <w:rFonts w:ascii="Arial" w:hAnsi="Arial" w:cs="Arial"/>
          <w:color w:val="000000" w:themeColor="text1"/>
          <w:sz w:val="22"/>
          <w:szCs w:val="22"/>
        </w:rPr>
      </w:pPr>
    </w:p>
    <w:tbl>
      <w:tblPr>
        <w:tblStyle w:val="Tabelacomgrade1"/>
        <w:tblW w:w="5246" w:type="pct"/>
        <w:tblInd w:w="-289" w:type="dxa"/>
        <w:tblLook w:val="04A0" w:firstRow="1" w:lastRow="0" w:firstColumn="1" w:lastColumn="0" w:noHBand="0" w:noVBand="1"/>
      </w:tblPr>
      <w:tblGrid>
        <w:gridCol w:w="6097"/>
        <w:gridCol w:w="1133"/>
        <w:gridCol w:w="350"/>
        <w:gridCol w:w="785"/>
        <w:gridCol w:w="382"/>
        <w:gridCol w:w="761"/>
      </w:tblGrid>
      <w:tr w:rsidR="00194C9B" w:rsidRPr="00194C9B" w14:paraId="77947A11" w14:textId="77777777" w:rsidTr="00194C9B">
        <w:tc>
          <w:tcPr>
            <w:tcW w:w="3206" w:type="pct"/>
            <w:vAlign w:val="center"/>
          </w:tcPr>
          <w:p w14:paraId="37B0163C" w14:textId="77777777" w:rsidR="00194C9B" w:rsidRPr="00194C9B" w:rsidRDefault="00194C9B" w:rsidP="003D5545">
            <w:pPr>
              <w:spacing w:before="120" w:after="120" w:line="240" w:lineRule="auto"/>
              <w:jc w:val="center"/>
              <w:rPr>
                <w:rFonts w:ascii="Arial" w:hAnsi="Arial" w:cs="Arial"/>
                <w:b/>
                <w:bCs/>
              </w:rPr>
            </w:pPr>
            <w:r w:rsidRPr="00194C9B">
              <w:rPr>
                <w:rFonts w:ascii="Arial" w:hAnsi="Arial" w:cs="Arial"/>
                <w:b/>
                <w:bCs/>
              </w:rPr>
              <w:lastRenderedPageBreak/>
              <w:t>DESCRIÇÃO DO SERVIÇO</w:t>
            </w:r>
          </w:p>
        </w:tc>
        <w:tc>
          <w:tcPr>
            <w:tcW w:w="596" w:type="pct"/>
            <w:vAlign w:val="center"/>
          </w:tcPr>
          <w:p w14:paraId="7951C7B2" w14:textId="77777777" w:rsidR="00194C9B" w:rsidRPr="00194C9B" w:rsidRDefault="00194C9B" w:rsidP="003D5545">
            <w:pPr>
              <w:spacing w:before="120" w:after="120" w:line="240" w:lineRule="auto"/>
              <w:jc w:val="center"/>
              <w:rPr>
                <w:rFonts w:ascii="Arial" w:hAnsi="Arial" w:cs="Arial"/>
                <w:b/>
                <w:bCs/>
              </w:rPr>
            </w:pPr>
            <w:r w:rsidRPr="00194C9B">
              <w:rPr>
                <w:rFonts w:ascii="Arial" w:hAnsi="Arial" w:cs="Arial"/>
                <w:b/>
                <w:bCs/>
              </w:rPr>
              <w:t>30 DIAS</w:t>
            </w:r>
          </w:p>
        </w:tc>
        <w:tc>
          <w:tcPr>
            <w:tcW w:w="597" w:type="pct"/>
            <w:gridSpan w:val="2"/>
            <w:vAlign w:val="center"/>
          </w:tcPr>
          <w:p w14:paraId="5166F7F1" w14:textId="77777777" w:rsidR="00194C9B" w:rsidRPr="00194C9B" w:rsidRDefault="00194C9B" w:rsidP="003D5545">
            <w:pPr>
              <w:spacing w:before="120" w:after="120" w:line="240" w:lineRule="auto"/>
              <w:jc w:val="center"/>
              <w:rPr>
                <w:rFonts w:ascii="Arial" w:hAnsi="Arial" w:cs="Arial"/>
                <w:b/>
                <w:bCs/>
              </w:rPr>
            </w:pPr>
            <w:r w:rsidRPr="00194C9B">
              <w:rPr>
                <w:rFonts w:ascii="Arial" w:hAnsi="Arial" w:cs="Arial"/>
                <w:b/>
                <w:bCs/>
              </w:rPr>
              <w:t>60 DIAS</w:t>
            </w:r>
          </w:p>
        </w:tc>
        <w:tc>
          <w:tcPr>
            <w:tcW w:w="601" w:type="pct"/>
            <w:gridSpan w:val="2"/>
            <w:vAlign w:val="center"/>
          </w:tcPr>
          <w:p w14:paraId="7642B130" w14:textId="77777777" w:rsidR="00194C9B" w:rsidRPr="00194C9B" w:rsidRDefault="00194C9B" w:rsidP="003D5545">
            <w:pPr>
              <w:spacing w:before="120" w:after="120" w:line="240" w:lineRule="auto"/>
              <w:jc w:val="center"/>
              <w:rPr>
                <w:rFonts w:ascii="Arial" w:hAnsi="Arial" w:cs="Arial"/>
                <w:b/>
                <w:bCs/>
              </w:rPr>
            </w:pPr>
            <w:r w:rsidRPr="00194C9B">
              <w:rPr>
                <w:rFonts w:ascii="Arial" w:hAnsi="Arial" w:cs="Arial"/>
                <w:b/>
                <w:bCs/>
              </w:rPr>
              <w:t>90 DIAS</w:t>
            </w:r>
          </w:p>
        </w:tc>
      </w:tr>
      <w:tr w:rsidR="00194C9B" w:rsidRPr="00194C9B" w14:paraId="3EE83A06" w14:textId="77777777" w:rsidTr="00194C9B">
        <w:trPr>
          <w:trHeight w:val="340"/>
        </w:trPr>
        <w:tc>
          <w:tcPr>
            <w:tcW w:w="3206" w:type="pct"/>
          </w:tcPr>
          <w:p w14:paraId="161BD34B" w14:textId="77777777" w:rsidR="00194C9B" w:rsidRPr="00194C9B" w:rsidRDefault="00194C9B" w:rsidP="003D5545">
            <w:pPr>
              <w:spacing w:before="120" w:after="120" w:line="240" w:lineRule="auto"/>
              <w:jc w:val="both"/>
              <w:rPr>
                <w:rFonts w:ascii="Arial" w:hAnsi="Arial" w:cs="Arial"/>
              </w:rPr>
            </w:pPr>
            <w:r w:rsidRPr="00194C9B">
              <w:rPr>
                <w:rFonts w:ascii="Arial" w:hAnsi="Arial" w:cs="Arial"/>
              </w:rPr>
              <w:t xml:space="preserve">Pesquisa de Campo, para Georreferenciamento das Rotas </w:t>
            </w:r>
          </w:p>
        </w:tc>
        <w:tc>
          <w:tcPr>
            <w:tcW w:w="596" w:type="pct"/>
            <w:shd w:val="clear" w:color="auto" w:fill="BFBFBF"/>
          </w:tcPr>
          <w:p w14:paraId="44859420" w14:textId="77777777" w:rsidR="00194C9B" w:rsidRPr="00194C9B" w:rsidRDefault="00194C9B" w:rsidP="003D5545">
            <w:pPr>
              <w:spacing w:before="120" w:after="120" w:line="240" w:lineRule="auto"/>
              <w:jc w:val="both"/>
              <w:rPr>
                <w:rFonts w:ascii="Arial" w:hAnsi="Arial" w:cs="Arial"/>
              </w:rPr>
            </w:pPr>
          </w:p>
        </w:tc>
        <w:tc>
          <w:tcPr>
            <w:tcW w:w="184" w:type="pct"/>
            <w:shd w:val="clear" w:color="auto" w:fill="BFBFBF"/>
          </w:tcPr>
          <w:p w14:paraId="53906C16" w14:textId="77777777" w:rsidR="00194C9B" w:rsidRPr="00194C9B" w:rsidRDefault="00194C9B" w:rsidP="003D5545">
            <w:pPr>
              <w:spacing w:before="120" w:after="120" w:line="240" w:lineRule="auto"/>
              <w:jc w:val="both"/>
              <w:rPr>
                <w:rFonts w:ascii="Arial" w:hAnsi="Arial" w:cs="Arial"/>
              </w:rPr>
            </w:pPr>
          </w:p>
        </w:tc>
        <w:tc>
          <w:tcPr>
            <w:tcW w:w="413" w:type="pct"/>
          </w:tcPr>
          <w:p w14:paraId="668F6760" w14:textId="77777777" w:rsidR="00194C9B" w:rsidRPr="00194C9B" w:rsidRDefault="00194C9B" w:rsidP="003D5545">
            <w:pPr>
              <w:spacing w:before="120" w:after="120" w:line="240" w:lineRule="auto"/>
              <w:jc w:val="both"/>
              <w:rPr>
                <w:rFonts w:ascii="Arial" w:hAnsi="Arial" w:cs="Arial"/>
              </w:rPr>
            </w:pPr>
          </w:p>
        </w:tc>
        <w:tc>
          <w:tcPr>
            <w:tcW w:w="601" w:type="pct"/>
            <w:gridSpan w:val="2"/>
          </w:tcPr>
          <w:p w14:paraId="267DB07C" w14:textId="77777777" w:rsidR="00194C9B" w:rsidRPr="00194C9B" w:rsidRDefault="00194C9B" w:rsidP="003D5545">
            <w:pPr>
              <w:spacing w:before="120" w:after="120" w:line="240" w:lineRule="auto"/>
              <w:jc w:val="both"/>
              <w:rPr>
                <w:rFonts w:ascii="Arial" w:hAnsi="Arial" w:cs="Arial"/>
              </w:rPr>
            </w:pPr>
          </w:p>
        </w:tc>
      </w:tr>
      <w:tr w:rsidR="00194C9B" w:rsidRPr="00194C9B" w14:paraId="4948843B" w14:textId="77777777" w:rsidTr="00194C9B">
        <w:trPr>
          <w:trHeight w:val="340"/>
        </w:trPr>
        <w:tc>
          <w:tcPr>
            <w:tcW w:w="3206" w:type="pct"/>
          </w:tcPr>
          <w:p w14:paraId="6E06BBC3" w14:textId="77777777" w:rsidR="00194C9B" w:rsidRPr="00194C9B" w:rsidRDefault="00194C9B" w:rsidP="003D5545">
            <w:pPr>
              <w:spacing w:before="120" w:after="120" w:line="240" w:lineRule="auto"/>
              <w:jc w:val="both"/>
              <w:rPr>
                <w:rFonts w:ascii="Arial" w:hAnsi="Arial" w:cs="Arial"/>
              </w:rPr>
            </w:pPr>
            <w:r w:rsidRPr="00194C9B">
              <w:rPr>
                <w:rFonts w:ascii="Arial" w:hAnsi="Arial" w:cs="Arial"/>
              </w:rPr>
              <w:t>Edição e tratamento dos dados coletados em campo</w:t>
            </w:r>
          </w:p>
        </w:tc>
        <w:tc>
          <w:tcPr>
            <w:tcW w:w="596" w:type="pct"/>
          </w:tcPr>
          <w:p w14:paraId="135E21E7" w14:textId="77777777" w:rsidR="00194C9B" w:rsidRPr="00194C9B" w:rsidRDefault="00194C9B" w:rsidP="003D5545">
            <w:pPr>
              <w:spacing w:before="120" w:after="120" w:line="240" w:lineRule="auto"/>
              <w:jc w:val="both"/>
              <w:rPr>
                <w:rFonts w:ascii="Arial" w:hAnsi="Arial" w:cs="Arial"/>
              </w:rPr>
            </w:pPr>
          </w:p>
        </w:tc>
        <w:tc>
          <w:tcPr>
            <w:tcW w:w="184" w:type="pct"/>
          </w:tcPr>
          <w:p w14:paraId="1D474A5A" w14:textId="77777777" w:rsidR="00194C9B" w:rsidRPr="00194C9B" w:rsidRDefault="00194C9B" w:rsidP="003D5545">
            <w:pPr>
              <w:spacing w:before="120" w:after="120" w:line="240" w:lineRule="auto"/>
              <w:jc w:val="both"/>
              <w:rPr>
                <w:rFonts w:ascii="Arial" w:hAnsi="Arial" w:cs="Arial"/>
              </w:rPr>
            </w:pPr>
          </w:p>
        </w:tc>
        <w:tc>
          <w:tcPr>
            <w:tcW w:w="413" w:type="pct"/>
            <w:shd w:val="clear" w:color="auto" w:fill="BFBFBF"/>
          </w:tcPr>
          <w:p w14:paraId="52FC1159" w14:textId="77777777" w:rsidR="00194C9B" w:rsidRPr="00194C9B" w:rsidRDefault="00194C9B" w:rsidP="003D5545">
            <w:pPr>
              <w:spacing w:before="120" w:after="120" w:line="240" w:lineRule="auto"/>
              <w:jc w:val="both"/>
              <w:rPr>
                <w:rFonts w:ascii="Arial" w:hAnsi="Arial" w:cs="Arial"/>
              </w:rPr>
            </w:pPr>
          </w:p>
        </w:tc>
        <w:tc>
          <w:tcPr>
            <w:tcW w:w="201" w:type="pct"/>
            <w:shd w:val="clear" w:color="auto" w:fill="BFBFBF"/>
          </w:tcPr>
          <w:p w14:paraId="2B325515" w14:textId="77777777" w:rsidR="00194C9B" w:rsidRPr="00194C9B" w:rsidRDefault="00194C9B" w:rsidP="003D5545">
            <w:pPr>
              <w:spacing w:before="120" w:after="120" w:line="240" w:lineRule="auto"/>
              <w:jc w:val="both"/>
              <w:rPr>
                <w:rFonts w:ascii="Arial" w:hAnsi="Arial" w:cs="Arial"/>
              </w:rPr>
            </w:pPr>
          </w:p>
        </w:tc>
        <w:tc>
          <w:tcPr>
            <w:tcW w:w="400" w:type="pct"/>
          </w:tcPr>
          <w:p w14:paraId="44F6C0A0" w14:textId="77777777" w:rsidR="00194C9B" w:rsidRPr="00194C9B" w:rsidRDefault="00194C9B" w:rsidP="003D5545">
            <w:pPr>
              <w:spacing w:before="120" w:after="120" w:line="240" w:lineRule="auto"/>
              <w:jc w:val="both"/>
              <w:rPr>
                <w:rFonts w:ascii="Arial" w:hAnsi="Arial" w:cs="Arial"/>
              </w:rPr>
            </w:pPr>
          </w:p>
        </w:tc>
      </w:tr>
      <w:tr w:rsidR="00194C9B" w:rsidRPr="00194C9B" w14:paraId="0BBBDB23" w14:textId="77777777" w:rsidTr="00194C9B">
        <w:trPr>
          <w:trHeight w:val="340"/>
        </w:trPr>
        <w:tc>
          <w:tcPr>
            <w:tcW w:w="3206" w:type="pct"/>
          </w:tcPr>
          <w:p w14:paraId="7E05978F" w14:textId="77777777" w:rsidR="00194C9B" w:rsidRPr="00194C9B" w:rsidRDefault="00194C9B" w:rsidP="003D5545">
            <w:pPr>
              <w:spacing w:before="120" w:after="120" w:line="240" w:lineRule="auto"/>
              <w:jc w:val="both"/>
              <w:rPr>
                <w:rFonts w:ascii="Arial" w:hAnsi="Arial" w:cs="Arial"/>
              </w:rPr>
            </w:pPr>
            <w:r w:rsidRPr="00194C9B">
              <w:rPr>
                <w:rFonts w:ascii="Arial" w:hAnsi="Arial" w:cs="Arial"/>
              </w:rPr>
              <w:t>Elaboração da memória de cálculo, e memorial descritivo do Projeto</w:t>
            </w:r>
          </w:p>
        </w:tc>
        <w:tc>
          <w:tcPr>
            <w:tcW w:w="596" w:type="pct"/>
          </w:tcPr>
          <w:p w14:paraId="379437C5" w14:textId="77777777" w:rsidR="00194C9B" w:rsidRPr="00194C9B" w:rsidRDefault="00194C9B" w:rsidP="003D5545">
            <w:pPr>
              <w:spacing w:before="120" w:after="120" w:line="240" w:lineRule="auto"/>
              <w:jc w:val="both"/>
              <w:rPr>
                <w:rFonts w:ascii="Arial" w:hAnsi="Arial" w:cs="Arial"/>
              </w:rPr>
            </w:pPr>
          </w:p>
        </w:tc>
        <w:tc>
          <w:tcPr>
            <w:tcW w:w="597" w:type="pct"/>
            <w:gridSpan w:val="2"/>
          </w:tcPr>
          <w:p w14:paraId="4C2C4CEB" w14:textId="77777777" w:rsidR="00194C9B" w:rsidRPr="00194C9B" w:rsidRDefault="00194C9B" w:rsidP="003D5545">
            <w:pPr>
              <w:spacing w:before="120" w:after="120" w:line="240" w:lineRule="auto"/>
              <w:jc w:val="both"/>
              <w:rPr>
                <w:rFonts w:ascii="Arial" w:hAnsi="Arial" w:cs="Arial"/>
              </w:rPr>
            </w:pPr>
          </w:p>
        </w:tc>
        <w:tc>
          <w:tcPr>
            <w:tcW w:w="201" w:type="pct"/>
          </w:tcPr>
          <w:p w14:paraId="5A8FB0BB" w14:textId="77777777" w:rsidR="00194C9B" w:rsidRPr="00194C9B" w:rsidRDefault="00194C9B" w:rsidP="003D5545">
            <w:pPr>
              <w:spacing w:before="120" w:after="120" w:line="240" w:lineRule="auto"/>
              <w:jc w:val="both"/>
              <w:rPr>
                <w:rFonts w:ascii="Arial" w:hAnsi="Arial" w:cs="Arial"/>
              </w:rPr>
            </w:pPr>
          </w:p>
        </w:tc>
        <w:tc>
          <w:tcPr>
            <w:tcW w:w="400" w:type="pct"/>
            <w:shd w:val="clear" w:color="auto" w:fill="BFBFBF"/>
          </w:tcPr>
          <w:p w14:paraId="557BDC36" w14:textId="77777777" w:rsidR="00194C9B" w:rsidRPr="00194C9B" w:rsidRDefault="00194C9B" w:rsidP="003D5545">
            <w:pPr>
              <w:spacing w:before="120" w:after="120" w:line="240" w:lineRule="auto"/>
              <w:jc w:val="both"/>
              <w:rPr>
                <w:rFonts w:ascii="Arial" w:hAnsi="Arial" w:cs="Arial"/>
              </w:rPr>
            </w:pPr>
          </w:p>
        </w:tc>
      </w:tr>
    </w:tbl>
    <w:p w14:paraId="40D2872F" w14:textId="77777777" w:rsidR="00194C9B" w:rsidRPr="00194C9B" w:rsidRDefault="00194C9B" w:rsidP="00194C9B">
      <w:pPr>
        <w:rPr>
          <w:rFonts w:ascii="Arial" w:hAnsi="Arial" w:cs="Arial"/>
          <w:color w:val="000000" w:themeColor="text1"/>
          <w:sz w:val="22"/>
          <w:szCs w:val="22"/>
        </w:rPr>
      </w:pPr>
    </w:p>
    <w:p w14:paraId="2A4A8264" w14:textId="4C220C6B"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METODOLOGIA DE EXECUÇÃO DO OBJETO</w:t>
      </w:r>
    </w:p>
    <w:p w14:paraId="0778EF47"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45802C11"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 xml:space="preserve"> O não cumprimento do disposto no item 4.1 do presente termo acarretará a anulação do empenho bem como a aplicação das penalidades previstas no edital e a convocação do fornecedor subsequente considerando a ordem de classificação do certame.</w:t>
      </w:r>
    </w:p>
    <w:p w14:paraId="612767A2"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3FBF9B6D"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A administração rejeitará, no todo ou em parte, o fornecimento executado em desacordo com os termos do Edital e seus anexos.</w:t>
      </w:r>
    </w:p>
    <w:p w14:paraId="34BA7BD1"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O objeto desta licitação, alberga as seguintes atividades.</w:t>
      </w:r>
      <w:r w:rsidRPr="00194C9B">
        <w:rPr>
          <w:rFonts w:ascii="Arial" w:eastAsiaTheme="minorEastAsia" w:hAnsi="Arial" w:cs="Arial"/>
          <w:sz w:val="22"/>
          <w:szCs w:val="22"/>
          <w:lang w:val="pt-PT"/>
        </w:rPr>
        <w:t xml:space="preserve"> </w:t>
      </w:r>
      <w:r w:rsidRPr="00194C9B">
        <w:rPr>
          <w:rFonts w:ascii="Arial" w:hAnsi="Arial" w:cs="Arial"/>
          <w:sz w:val="22"/>
          <w:szCs w:val="22"/>
          <w:lang w:val="pt-PT"/>
        </w:rPr>
        <w:t>georreferenciamento de todos os itinerários e rotas que compõem a malha viária do município de Janaúba/MG, nas zonas urbana e rural, atribuídos ao Transporte Escolar;</w:t>
      </w:r>
    </w:p>
    <w:p w14:paraId="712CC4E2"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eastAsiaTheme="minorEastAsia" w:hAnsi="Arial" w:cs="Arial"/>
          <w:sz w:val="22"/>
          <w:szCs w:val="22"/>
        </w:rPr>
        <w:t xml:space="preserve"> </w:t>
      </w:r>
      <w:r w:rsidRPr="00194C9B">
        <w:rPr>
          <w:rFonts w:ascii="Arial" w:hAnsi="Arial" w:cs="Arial"/>
          <w:sz w:val="22"/>
          <w:szCs w:val="22"/>
        </w:rPr>
        <w:t>Para a efetiva consecução dos fins pretendidos pela Administração, se busca a seleção de proposta mais vantajosa para a contratação de pessoa jurídica especializada visando a elaboração de Projeto com vistas a delinear a melhor forma de execução dos serviços de Transporte Escolar no município de Janaúba/MG em 2025.</w:t>
      </w:r>
    </w:p>
    <w:p w14:paraId="5D8A08A3"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Para tanto, a contratada deverá utilizar recursos humanos devidamente qualificados, além da utilização de todos os recursos materiais necessários e adequados para a produção do pretendido estudo técnico, que contemple as seguintes atividades.</w:t>
      </w:r>
    </w:p>
    <w:p w14:paraId="137A3CD8"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lang w:val="pt-PT"/>
        </w:rPr>
      </w:pPr>
      <w:r w:rsidRPr="00194C9B">
        <w:rPr>
          <w:rFonts w:ascii="Arial" w:hAnsi="Arial" w:cs="Arial"/>
          <w:sz w:val="22"/>
          <w:szCs w:val="22"/>
          <w:lang w:val="pt-PT"/>
        </w:rPr>
        <w:t>Elaboração de estudo técnico de otimização das rotas, nos moldes estabelecido pelos órgãos de controle;</w:t>
      </w:r>
    </w:p>
    <w:p w14:paraId="537CE5F6"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lang w:val="pt-PT"/>
        </w:rPr>
      </w:pPr>
      <w:r w:rsidRPr="00194C9B">
        <w:rPr>
          <w:rFonts w:ascii="Arial" w:hAnsi="Arial" w:cs="Arial"/>
          <w:sz w:val="22"/>
          <w:szCs w:val="22"/>
          <w:lang w:val="pt-PT"/>
        </w:rPr>
        <w:t>Elaboração do Termo de Referência/Projeto Básico, conforme estabelece estabelecido pelos órgãos de controle;</w:t>
      </w:r>
    </w:p>
    <w:p w14:paraId="798EF0BF"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lang w:val="pt-PT"/>
        </w:rPr>
      </w:pPr>
      <w:r w:rsidRPr="00194C9B">
        <w:rPr>
          <w:rFonts w:ascii="Arial" w:hAnsi="Arial" w:cs="Arial"/>
          <w:sz w:val="22"/>
          <w:szCs w:val="22"/>
          <w:lang w:val="pt-PT"/>
        </w:rPr>
        <w:lastRenderedPageBreak/>
        <w:t>Elaboração das respectivas planilhas analíticas dos custos, envolvidos na execução dos serviços, conforme estabelecido pelos órgãos de controle;</w:t>
      </w:r>
    </w:p>
    <w:p w14:paraId="7BB6BC2E"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lang w:val="pt-PT"/>
        </w:rPr>
        <w:t>Elaboração do orçamento estimativo, para a contratação dos serviços de Transporte Escolar, conforme estabelecido pelos órgãos de controle;</w:t>
      </w:r>
      <w:r w:rsidRPr="00194C9B">
        <w:rPr>
          <w:rFonts w:ascii="Arial" w:eastAsiaTheme="minorEastAsia" w:hAnsi="Arial" w:cs="Arial"/>
          <w:sz w:val="22"/>
          <w:szCs w:val="22"/>
        </w:rPr>
        <w:t xml:space="preserve"> </w:t>
      </w:r>
    </w:p>
    <w:p w14:paraId="2C5E2706"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Ante algumas deficiências constatadas supervenientemente na execução dos serviços de TRANSPORTE ESCOLAR, e tendo em vista a necessidade de apuração da regularidade dos itinerários e rotas vigentes, com o intuito de otimização dos serviços através da disponibilização de transporte mais eficiente, eficaz, efetivo e econômico, tornou-se necessária a realização do presente, objetivando a confecção de um Projeto de Transporte Escolar do Município de Janaúba, com foco na eficiência e pautado nas prescrições dos órgãos de fiscalização.</w:t>
      </w:r>
    </w:p>
    <w:p w14:paraId="330BE3D4"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Neste trilhar, além do dever legal de suprir as demandas da rede pública municipal de ensino, em princípio para garantir a efetividade dos direitos constitucionais, previstos nos artigos 5º, 6º, 205, 206 e 211 da Constituição Federal de 1988, recai sob a responsabilidade da Secretaria Municipal de Educação, fazer cumprir o calendário letivo para o exercício 2025, para tanto sendo indispensável a referência técnica de um Projeto de Transporte Escolar atualizado e otimizado.</w:t>
      </w:r>
    </w:p>
    <w:p w14:paraId="6A2FFCE7"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Nesse contexto, se faz necessário observar o disposto na Lei nº 9.394/1996, que trata das Diretrizes e Bases da Educação Nacional, especificamente no inciso VII do artigo 10, e VI do artigo 11, inclusos pela Lei 10.709/03, dispositivos estes, que veem ratificar a responsabilidade, aos entes federados, estados e municípios, pelo transporte escolar dos alunos matriculados nas suas respectivas redes de ensino.</w:t>
      </w:r>
    </w:p>
    <w:p w14:paraId="4E060F4C"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Necessário salientar que, para a consecução dos objetivos citados, o Município não dispõe dos recursos humanos qualificados, bem como de materiais necessários para a realização dessa atividade. Neste cenário, se faz necessária a contratação de pessoa jurídica especializada para realizar as atividades integrantes do presente objeto.</w:t>
      </w:r>
      <w:r w:rsidRPr="00194C9B">
        <w:rPr>
          <w:rFonts w:ascii="Arial" w:eastAsiaTheme="minorEastAsia" w:hAnsi="Arial" w:cs="Arial"/>
          <w:sz w:val="22"/>
          <w:szCs w:val="22"/>
        </w:rPr>
        <w:t xml:space="preserve"> </w:t>
      </w:r>
    </w:p>
    <w:p w14:paraId="5985A73B" w14:textId="77777777" w:rsidR="00194C9B" w:rsidRPr="00194C9B" w:rsidRDefault="00194C9B" w:rsidP="00194C9B">
      <w:pPr>
        <w:numPr>
          <w:ilvl w:val="1"/>
          <w:numId w:val="1"/>
        </w:numPr>
        <w:tabs>
          <w:tab w:val="clear" w:pos="1004"/>
          <w:tab w:val="num" w:pos="1134"/>
        </w:tabs>
        <w:spacing w:line="360" w:lineRule="auto"/>
        <w:ind w:left="567" w:hanging="578"/>
        <w:rPr>
          <w:rFonts w:ascii="Arial" w:hAnsi="Arial" w:cs="Arial"/>
          <w:sz w:val="22"/>
          <w:szCs w:val="22"/>
        </w:rPr>
      </w:pPr>
      <w:r w:rsidRPr="00194C9B">
        <w:rPr>
          <w:rFonts w:ascii="Arial" w:hAnsi="Arial" w:cs="Arial"/>
          <w:sz w:val="22"/>
          <w:szCs w:val="22"/>
        </w:rPr>
        <w:t xml:space="preserve">Os serviços deverão ter prazo de garantia mínimo de </w:t>
      </w:r>
      <w:r w:rsidRPr="00194C9B">
        <w:rPr>
          <w:rFonts w:ascii="Arial" w:hAnsi="Arial" w:cs="Arial"/>
          <w:b/>
          <w:bCs/>
          <w:sz w:val="22"/>
          <w:szCs w:val="22"/>
        </w:rPr>
        <w:t>06 (seis) meses</w:t>
      </w:r>
      <w:r w:rsidRPr="00194C9B">
        <w:rPr>
          <w:rFonts w:ascii="Arial" w:hAnsi="Arial" w:cs="Arial"/>
          <w:sz w:val="22"/>
          <w:szCs w:val="22"/>
        </w:rPr>
        <w:t xml:space="preserve">, prevalecendo o prazo de garantia fixado pelo fabricante ou fornecedor, caso maior. </w:t>
      </w:r>
    </w:p>
    <w:p w14:paraId="776D6D5A" w14:textId="77777777" w:rsidR="00194C9B" w:rsidRPr="00194C9B" w:rsidRDefault="00194C9B" w:rsidP="00194C9B">
      <w:pPr>
        <w:numPr>
          <w:ilvl w:val="1"/>
          <w:numId w:val="1"/>
        </w:numPr>
        <w:spacing w:line="360" w:lineRule="auto"/>
        <w:ind w:left="567" w:hanging="578"/>
        <w:rPr>
          <w:rFonts w:ascii="Arial" w:hAnsi="Arial" w:cs="Arial"/>
          <w:sz w:val="22"/>
          <w:szCs w:val="22"/>
        </w:rPr>
      </w:pPr>
      <w:r w:rsidRPr="00194C9B">
        <w:rPr>
          <w:rFonts w:ascii="Arial" w:hAnsi="Arial" w:cs="Arial"/>
          <w:sz w:val="22"/>
          <w:szCs w:val="22"/>
        </w:rPr>
        <w:t>Observar e fazer cumprir com bom senso e determinação as medidas em relação a controle de pessoal, material e estabelecimento.</w:t>
      </w:r>
    </w:p>
    <w:p w14:paraId="3C091D9E" w14:textId="77777777" w:rsidR="00194C9B" w:rsidRPr="00194C9B" w:rsidRDefault="00194C9B" w:rsidP="00194C9B">
      <w:pPr>
        <w:numPr>
          <w:ilvl w:val="1"/>
          <w:numId w:val="1"/>
        </w:numPr>
        <w:spacing w:line="360" w:lineRule="auto"/>
        <w:ind w:left="567" w:hanging="578"/>
        <w:rPr>
          <w:rFonts w:ascii="Arial" w:hAnsi="Arial" w:cs="Arial"/>
          <w:sz w:val="22"/>
          <w:szCs w:val="22"/>
        </w:rPr>
      </w:pPr>
      <w:r w:rsidRPr="00194C9B">
        <w:rPr>
          <w:rFonts w:ascii="Arial" w:hAnsi="Arial" w:cs="Arial"/>
          <w:sz w:val="22"/>
          <w:szCs w:val="22"/>
        </w:rPr>
        <w:t>A aceitação dos serviços não exclui nem reduz a responsabilidade da empresa contratada com relação às especificações divergentes.</w:t>
      </w:r>
    </w:p>
    <w:p w14:paraId="44C1FD0E" w14:textId="77777777" w:rsidR="00194C9B" w:rsidRPr="00194C9B" w:rsidRDefault="00194C9B" w:rsidP="00194C9B">
      <w:pPr>
        <w:numPr>
          <w:ilvl w:val="1"/>
          <w:numId w:val="1"/>
        </w:numPr>
        <w:spacing w:line="360" w:lineRule="auto"/>
        <w:ind w:left="567" w:hanging="578"/>
        <w:rPr>
          <w:rFonts w:ascii="Arial" w:hAnsi="Arial" w:cs="Arial"/>
          <w:sz w:val="22"/>
          <w:szCs w:val="22"/>
        </w:rPr>
      </w:pPr>
      <w:r w:rsidRPr="00194C9B">
        <w:rPr>
          <w:rFonts w:ascii="Arial" w:hAnsi="Arial" w:cs="Arial"/>
          <w:sz w:val="22"/>
          <w:szCs w:val="22"/>
        </w:rPr>
        <w:t xml:space="preserve"> Trata-se de serviço comum, não contínuo, sem fornecimento de mão de obra em regime de dedicação exclusiva, a ser contratado mediante dispensa de licitação, com </w:t>
      </w:r>
      <w:r w:rsidRPr="00194C9B">
        <w:rPr>
          <w:rFonts w:ascii="Arial" w:hAnsi="Arial" w:cs="Arial"/>
          <w:sz w:val="22"/>
          <w:szCs w:val="22"/>
        </w:rPr>
        <w:lastRenderedPageBreak/>
        <w:t>fundamento no que dispõe o inc. II do art. 75 da Lei Federal nº 14.133 de 1º de abril de 2021.</w:t>
      </w:r>
    </w:p>
    <w:p w14:paraId="6115E6F0" w14:textId="77777777" w:rsidR="00194C9B" w:rsidRPr="00194C9B" w:rsidRDefault="00194C9B" w:rsidP="00194C9B">
      <w:pPr>
        <w:numPr>
          <w:ilvl w:val="1"/>
          <w:numId w:val="1"/>
        </w:numPr>
        <w:spacing w:line="360" w:lineRule="auto"/>
        <w:ind w:left="567" w:hanging="578"/>
        <w:rPr>
          <w:rFonts w:ascii="Arial" w:hAnsi="Arial" w:cs="Arial"/>
          <w:sz w:val="22"/>
          <w:szCs w:val="22"/>
        </w:rPr>
      </w:pPr>
      <w:r w:rsidRPr="00194C9B">
        <w:rPr>
          <w:rFonts w:ascii="Arial" w:hAnsi="Arial" w:cs="Arial"/>
          <w:sz w:val="22"/>
          <w:szCs w:val="22"/>
        </w:rPr>
        <w:t>A legislação adicional aplicável à contratação do objeto do presente Termo de Referência encontra amparo no inciso II do artigo 4º da INSTRUÇÃO NORMATIVA SEGES/ME Nº 67, DE 8 DE JULHO DE 2021.</w:t>
      </w:r>
    </w:p>
    <w:p w14:paraId="204971C3"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A prestação dos serviços não gera vínculo empregatício entre os colaboradores da CONTRATADA e a Administração CONTRATANTE, vedando-se qualquer relação entre estes que caracterize pessoalidade e subordinação direta.</w:t>
      </w:r>
      <w:bookmarkStart w:id="2" w:name="_Toc182755565"/>
      <w:r w:rsidRPr="00194C9B">
        <w:rPr>
          <w:rFonts w:ascii="Arial" w:eastAsiaTheme="minorEastAsia" w:hAnsi="Arial" w:cs="Arial"/>
          <w:sz w:val="22"/>
          <w:szCs w:val="22"/>
        </w:rPr>
        <w:t xml:space="preserve"> </w:t>
      </w:r>
    </w:p>
    <w:p w14:paraId="3C9E00E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b/>
          <w:sz w:val="22"/>
          <w:szCs w:val="22"/>
          <w:u w:val="single"/>
        </w:rPr>
      </w:pPr>
      <w:r w:rsidRPr="00194C9B">
        <w:rPr>
          <w:rFonts w:ascii="Arial" w:hAnsi="Arial" w:cs="Arial"/>
          <w:b/>
          <w:sz w:val="22"/>
          <w:szCs w:val="22"/>
          <w:u w:val="single"/>
        </w:rPr>
        <w:t>EXIGÊNCIAS DE HABILITAÇÃO</w:t>
      </w:r>
      <w:bookmarkEnd w:id="2"/>
    </w:p>
    <w:p w14:paraId="1494BD0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Para fins de habilitação, deverá o licitante comprovar os seguintes requisitos.</w:t>
      </w:r>
    </w:p>
    <w:p w14:paraId="2924E16E"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b/>
          <w:sz w:val="22"/>
          <w:szCs w:val="22"/>
          <w:u w:val="single"/>
        </w:rPr>
      </w:pPr>
      <w:r w:rsidRPr="00194C9B">
        <w:rPr>
          <w:rFonts w:ascii="Arial" w:hAnsi="Arial" w:cs="Arial"/>
          <w:b/>
          <w:sz w:val="22"/>
          <w:szCs w:val="22"/>
          <w:u w:val="single"/>
        </w:rPr>
        <w:t>HABILITAÇÃO JURÍDICA</w:t>
      </w:r>
    </w:p>
    <w:p w14:paraId="06E906A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bookmarkStart w:id="3" w:name="_Ref115800561"/>
      <w:r w:rsidRPr="00194C9B">
        <w:rPr>
          <w:rFonts w:ascii="Arial" w:hAnsi="Arial" w:cs="Arial"/>
          <w:sz w:val="22"/>
          <w:szCs w:val="22"/>
        </w:rPr>
        <w:t>Pessoa física: cédula de identidade (RG) ou documento equivalente que, por força de lei, tenha validade para fins de identificação em todo o território nacional;</w:t>
      </w:r>
      <w:bookmarkEnd w:id="3"/>
    </w:p>
    <w:p w14:paraId="34B16919"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Empresário individual: inscrição no Registro Público de Empresas Mercantis, a cargo da Junta Comercial da respectiva sede; </w:t>
      </w:r>
    </w:p>
    <w:p w14:paraId="1519A68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Microempreendedor Individual - MEI: Certificado da Condição de Microempreendedor Individual - CCMEI, cuja aceitação ficará condicionada à verificação da autenticidade no sítio </w:t>
      </w:r>
      <w:hyperlink r:id="rId18">
        <w:r w:rsidRPr="00194C9B">
          <w:rPr>
            <w:rStyle w:val="Hyperlink"/>
            <w:rFonts w:ascii="Arial" w:hAnsi="Arial" w:cs="Arial"/>
            <w:sz w:val="22"/>
            <w:szCs w:val="22"/>
          </w:rPr>
          <w:t>https://www.gov.br/empresas-e-negocios/pt-br/empreendedor</w:t>
        </w:r>
      </w:hyperlink>
      <w:r w:rsidRPr="00194C9B">
        <w:rPr>
          <w:rFonts w:ascii="Arial" w:hAnsi="Arial" w:cs="Arial"/>
          <w:sz w:val="22"/>
          <w:szCs w:val="22"/>
        </w:rPr>
        <w:t xml:space="preserve">; </w:t>
      </w:r>
    </w:p>
    <w:p w14:paraId="141700C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184D948"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9">
        <w:r w:rsidRPr="00194C9B">
          <w:rPr>
            <w:rStyle w:val="Hyperlink"/>
            <w:rFonts w:ascii="Arial" w:hAnsi="Arial" w:cs="Arial"/>
            <w:sz w:val="22"/>
            <w:szCs w:val="22"/>
          </w:rPr>
          <w:t>Normativa DREI/ME n.º 77, de 18 de março de 2020</w:t>
        </w:r>
      </w:hyperlink>
      <w:r w:rsidRPr="00194C9B">
        <w:rPr>
          <w:rFonts w:ascii="Arial" w:hAnsi="Arial" w:cs="Arial"/>
          <w:sz w:val="22"/>
          <w:szCs w:val="22"/>
        </w:rPr>
        <w:t>.</w:t>
      </w:r>
    </w:p>
    <w:p w14:paraId="709091F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Sociedade simples: inscrição do ato constitutivo no Registro Civil de Pessoas Jurídicas do local de sua sede, acompanhada de documento comprobatório de seus administradores;</w:t>
      </w:r>
    </w:p>
    <w:p w14:paraId="753BD53D"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 w:name="_Int_ySfCXwr4"/>
      <w:r w:rsidRPr="00194C9B">
        <w:rPr>
          <w:rFonts w:ascii="Arial" w:hAnsi="Arial" w:cs="Arial"/>
          <w:sz w:val="22"/>
          <w:szCs w:val="22"/>
        </w:rPr>
        <w:t>Mercantis onde</w:t>
      </w:r>
      <w:bookmarkEnd w:id="4"/>
      <w:r w:rsidRPr="00194C9B">
        <w:rPr>
          <w:rFonts w:ascii="Arial" w:hAnsi="Arial" w:cs="Arial"/>
          <w:sz w:val="22"/>
          <w:szCs w:val="22"/>
        </w:rPr>
        <w:t xml:space="preserve"> opera, com averbação no Registro onde tem sede a matriz</w:t>
      </w:r>
    </w:p>
    <w:p w14:paraId="13708DC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lastRenderedPageBreak/>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20" w:anchor="art107">
        <w:r w:rsidRPr="00194C9B">
          <w:rPr>
            <w:rStyle w:val="Hyperlink"/>
            <w:rFonts w:ascii="Arial" w:hAnsi="Arial" w:cs="Arial"/>
            <w:sz w:val="22"/>
            <w:szCs w:val="22"/>
          </w:rPr>
          <w:t>art. 107 da Lei nº 5.764, de 16 de dezembro 1971</w:t>
        </w:r>
      </w:hyperlink>
      <w:r w:rsidRPr="00194C9B">
        <w:rPr>
          <w:rFonts w:ascii="Arial" w:hAnsi="Arial" w:cs="Arial"/>
          <w:sz w:val="22"/>
          <w:szCs w:val="22"/>
        </w:rPr>
        <w:t>.</w:t>
      </w:r>
    </w:p>
    <w:p w14:paraId="5FFB040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Os documentos apresentados deverão estar acompanhados de todas as alterações ou da consolidação respectiva.</w:t>
      </w:r>
    </w:p>
    <w:p w14:paraId="3BD71F85"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b/>
          <w:sz w:val="22"/>
          <w:szCs w:val="22"/>
          <w:u w:val="single"/>
        </w:rPr>
      </w:pPr>
      <w:r w:rsidRPr="00194C9B">
        <w:rPr>
          <w:rFonts w:ascii="Arial" w:hAnsi="Arial" w:cs="Arial"/>
          <w:b/>
          <w:sz w:val="22"/>
          <w:szCs w:val="22"/>
          <w:u w:val="single"/>
        </w:rPr>
        <w:t>HABILITAÇÃO FISCAL, SOCIAL E TRABALHISTA</w:t>
      </w:r>
    </w:p>
    <w:p w14:paraId="46E0FF04"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Prova de inscrição no Cadastro Nacional de Pessoas Jurídicas ou no Cadastro de Pessoas Físicas, conforme o caso;</w:t>
      </w:r>
    </w:p>
    <w:p w14:paraId="40A42427"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0BD4FD"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Prova de regularidade com o Fundo de Garantia do Tempo de Serviço (FGTS);</w:t>
      </w:r>
    </w:p>
    <w:p w14:paraId="04F6F28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0C338BB"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Prova de inscrição no cadastro de contribuintes Estadual e Municipal relativo ao domicílio ou sede do fornecedor, pertinente ao seu ramo de atividade e compatível com o objeto contratual; </w:t>
      </w:r>
    </w:p>
    <w:p w14:paraId="2C6411EF"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Prova de regularidade com a Fazenda Federal, Estadual e Municipal do domicílio ou sede do fornecedor, relativa à atividade em cujo exercício contrata ou concorre;</w:t>
      </w:r>
    </w:p>
    <w:p w14:paraId="1610D9E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Caso o fornecedor seja considerado isento dos tributos Federal, Estadual ou Municipal relacionados ao objeto contratual, deverá comprovar tal condição mediante a apresentação de declaração da Fazenda respectiva do seu domicílio ou sede, ou outra equivalente, na forma da lei.</w:t>
      </w:r>
    </w:p>
    <w:p w14:paraId="1F84A28D"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E5CCC1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b/>
          <w:sz w:val="22"/>
          <w:szCs w:val="22"/>
          <w:u w:val="single"/>
        </w:rPr>
      </w:pPr>
      <w:r w:rsidRPr="00194C9B">
        <w:rPr>
          <w:rFonts w:ascii="Arial" w:hAnsi="Arial" w:cs="Arial"/>
          <w:b/>
          <w:sz w:val="22"/>
          <w:szCs w:val="22"/>
          <w:u w:val="single"/>
        </w:rPr>
        <w:t>QUALIFICAÇÃO ECONÔMICO-FINANCEIRA</w:t>
      </w:r>
    </w:p>
    <w:p w14:paraId="090DA802"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lastRenderedPageBreak/>
        <w:t>Para comprovar sua aptidão econômica para cumprir as obrigações decorrentes do futuro contrato, o licitante deverá comprovar de forma objetiva, por coeficientes e índices econômicos previstos a seguir, devidamente justificados no presente processo licitatório, restringindo à apresentação da seguinte documentação:</w:t>
      </w:r>
    </w:p>
    <w:p w14:paraId="6BF3038E"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Certidão negativa de insolvência civil expedida pelo distribuidor do domicílio ou sede do licitante, caso se trate de pessoa física, desde que admitida a sua participação na licitação (</w:t>
      </w:r>
      <w:hyperlink r:id="rId21" w:anchor="art5">
        <w:r w:rsidRPr="00194C9B">
          <w:rPr>
            <w:rStyle w:val="Hyperlink"/>
            <w:rFonts w:ascii="Arial" w:hAnsi="Arial" w:cs="Arial"/>
            <w:sz w:val="22"/>
            <w:szCs w:val="22"/>
          </w:rPr>
          <w:t>art. 5º, inciso II, alínea “c”, da Instrução Normativa Seges/ME nº 116, de 2021</w:t>
        </w:r>
      </w:hyperlink>
      <w:r w:rsidRPr="00194C9B">
        <w:rPr>
          <w:rFonts w:ascii="Arial" w:hAnsi="Arial" w:cs="Arial"/>
          <w:sz w:val="22"/>
          <w:szCs w:val="22"/>
        </w:rPr>
        <w:t xml:space="preserve">), ou de sociedade simples; </w:t>
      </w:r>
    </w:p>
    <w:p w14:paraId="64DC4C94"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Certidão negativa de falência expedida pelo distribuidor da sede do fornecedor, datada de, no máximo 30 (trinta) dias anteriores à data de abertura da licitação. - </w:t>
      </w:r>
      <w:hyperlink r:id="rId22" w:anchor="art69">
        <w:r w:rsidRPr="00194C9B">
          <w:rPr>
            <w:rStyle w:val="Hyperlink"/>
            <w:rFonts w:ascii="Arial" w:hAnsi="Arial" w:cs="Arial"/>
            <w:sz w:val="22"/>
            <w:szCs w:val="22"/>
          </w:rPr>
          <w:t>Lei nº 14.133, de 2021, art. 69, caput, inciso II</w:t>
        </w:r>
      </w:hyperlink>
      <w:r w:rsidRPr="00194C9B">
        <w:rPr>
          <w:rFonts w:ascii="Arial" w:hAnsi="Arial" w:cs="Arial"/>
          <w:sz w:val="22"/>
          <w:szCs w:val="22"/>
        </w:rPr>
        <w:t xml:space="preserve">); </w:t>
      </w:r>
    </w:p>
    <w:p w14:paraId="7272BC7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Para as empresas sediadas no Estado de Pernambuco deverá ser apresentada a Certidão Licitação 1º e 2º Graus emitidas na forma da Instrução Normativa do TJPE nº 07 de 02/06/2014, na Resolução do CNJ nº 185 e na Lei 11.419/2006, obtidas no portal do </w:t>
      </w:r>
      <w:proofErr w:type="spellStart"/>
      <w:r w:rsidRPr="00194C9B">
        <w:rPr>
          <w:rFonts w:ascii="Arial" w:hAnsi="Arial" w:cs="Arial"/>
          <w:sz w:val="22"/>
          <w:szCs w:val="22"/>
        </w:rPr>
        <w:t>tjpe</w:t>
      </w:r>
      <w:proofErr w:type="spellEnd"/>
      <w:r w:rsidRPr="00194C9B">
        <w:rPr>
          <w:rFonts w:ascii="Arial" w:hAnsi="Arial" w:cs="Arial"/>
          <w:sz w:val="22"/>
          <w:szCs w:val="22"/>
        </w:rPr>
        <w:t>.</w:t>
      </w:r>
    </w:p>
    <w:p w14:paraId="36B5980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Balanço patrimonial, demonstração de resultado de exercício e demais demonstrações contábeis dos 2 (dois) últimos exercícios sociais, comprovando;</w:t>
      </w:r>
    </w:p>
    <w:p w14:paraId="6F96C46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índices de Liquidez Geral (LG), Liquidez Corrente (LC), e Solvência Geral (SG) superiores a 1 (um);</w:t>
      </w:r>
    </w:p>
    <w:p w14:paraId="05FA48B1"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Os documentos referidos acima limitar-se-ão ao último exercício no caso de a pessoa jurídica ter sido constituída há menos de 2 (dois) anos;</w:t>
      </w:r>
    </w:p>
    <w:p w14:paraId="6DC35FAD"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 xml:space="preserve">Os documentos referidos acima deverão ser exigidos com base no limite definido pela Receita Federal do Brasil para transmissão da Escrituração Contábil Digital - ECD ao </w:t>
      </w:r>
      <w:proofErr w:type="spellStart"/>
      <w:r w:rsidRPr="00194C9B">
        <w:rPr>
          <w:rFonts w:ascii="Arial" w:hAnsi="Arial" w:cs="Arial"/>
          <w:sz w:val="22"/>
          <w:szCs w:val="22"/>
        </w:rPr>
        <w:t>Sped</w:t>
      </w:r>
      <w:proofErr w:type="spellEnd"/>
      <w:r w:rsidRPr="00194C9B">
        <w:rPr>
          <w:rFonts w:ascii="Arial" w:hAnsi="Arial" w:cs="Arial"/>
          <w:sz w:val="22"/>
          <w:szCs w:val="22"/>
        </w:rPr>
        <w:t>.</w:t>
      </w:r>
    </w:p>
    <w:p w14:paraId="7B3A6495"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bookmarkStart w:id="5" w:name="_Hlk182750822"/>
      <w:r w:rsidRPr="00194C9B">
        <w:rPr>
          <w:rFonts w:ascii="Arial" w:hAnsi="Arial" w:cs="Arial"/>
          <w:sz w:val="22"/>
          <w:szCs w:val="22"/>
        </w:rPr>
        <w:t xml:space="preserve">Caso a empresa licitante apresente resultado inferior ou igual a 1 (um) em qualquer dos índices de Liquidez Geral (LG), Solvência Geral (SG) e Liquidez Corrente (LC), será exigido para fins de habilitação, a comprovação de patrimônio líquido mínimo de 10% do valor total estimado da contratação </w:t>
      </w:r>
    </w:p>
    <w:bookmarkEnd w:id="5"/>
    <w:p w14:paraId="0A31A856"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As empresas criadas no exercício financeiro da licitação deverão atender a todas as exigências da habilitação e poderão substituir os demonstrativos contábeis pelo balanço de abertura. (Lei nº 14.133, de 2021, art. 65, §1º).</w:t>
      </w:r>
    </w:p>
    <w:p w14:paraId="2E1396A1"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bookmarkStart w:id="6" w:name="_Hlk182750853"/>
      <w:r w:rsidRPr="00194C9B">
        <w:rPr>
          <w:rFonts w:ascii="Arial" w:hAnsi="Arial" w:cs="Arial"/>
          <w:sz w:val="22"/>
          <w:szCs w:val="22"/>
        </w:rPr>
        <w:t>O atendimento dos índices econômicos previstos neste item deverá ser atestado mediante declaração assinada por profissional habilitado da área contábil, apresentada pelo fornecedor.</w:t>
      </w:r>
    </w:p>
    <w:bookmarkEnd w:id="6"/>
    <w:p w14:paraId="4086587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QUALIFICAÇÃO TÉCNICA</w:t>
      </w:r>
    </w:p>
    <w:p w14:paraId="7CFD5726"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bookmarkStart w:id="7" w:name="_Hlk182751487"/>
      <w:r w:rsidRPr="00194C9B">
        <w:rPr>
          <w:rFonts w:ascii="Arial" w:hAnsi="Arial" w:cs="Arial"/>
          <w:sz w:val="22"/>
          <w:szCs w:val="22"/>
        </w:rPr>
        <w:lastRenderedPageBreak/>
        <w:t>Registro ou inscrição da empresa na Agência Nacional do Petróleo (ANP), em plena validade;</w:t>
      </w:r>
    </w:p>
    <w:p w14:paraId="1E053F4C"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Comprovação de regularidade com as normas de segurança, mediante apresentação de Certificado de Licença do Corpo de Bombeiros (CLCB), em vigência;</w:t>
      </w:r>
    </w:p>
    <w:p w14:paraId="4A5A0F11"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Comprovação de regularidade junto ao IBAMA, mediante apresentação do Cadastro Técnico Federal de Atividades Potencialmente Poluidoras e Utilizadoras de Recursos Ambientais, em vigência;</w:t>
      </w:r>
    </w:p>
    <w:bookmarkEnd w:id="7"/>
    <w:p w14:paraId="7C00CB73"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589F788"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Será admitida, para fins de comprovação de quantitativo mínimo, a apresentação e o somatório de diferentes atestados executados de forma concomitante.</w:t>
      </w:r>
    </w:p>
    <w:p w14:paraId="58EA06E1"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Os atestados de capacidade técnica poderão ser apresentados em nome da matriz ou da filial do fornecedor.</w:t>
      </w:r>
    </w:p>
    <w:p w14:paraId="2516C3DA" w14:textId="77777777" w:rsidR="00194C9B" w:rsidRPr="00194C9B" w:rsidRDefault="00194C9B" w:rsidP="00194C9B">
      <w:pPr>
        <w:numPr>
          <w:ilvl w:val="1"/>
          <w:numId w:val="1"/>
        </w:numPr>
        <w:tabs>
          <w:tab w:val="clear" w:pos="1004"/>
          <w:tab w:val="left" w:pos="993"/>
        </w:tabs>
        <w:spacing w:line="360" w:lineRule="auto"/>
        <w:ind w:left="567" w:hanging="578"/>
        <w:rPr>
          <w:rFonts w:ascii="Arial" w:hAnsi="Arial" w:cs="Arial"/>
          <w:sz w:val="22"/>
          <w:szCs w:val="22"/>
        </w:rPr>
      </w:pPr>
      <w:r w:rsidRPr="00194C9B">
        <w:rPr>
          <w:rFonts w:ascii="Arial" w:hAnsi="Arial" w:cs="Arial"/>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5643B10" w14:textId="77777777" w:rsidR="00194C9B" w:rsidRPr="00194C9B" w:rsidRDefault="00194C9B" w:rsidP="00194C9B">
      <w:pPr>
        <w:spacing w:line="360" w:lineRule="auto"/>
        <w:ind w:left="-11"/>
        <w:rPr>
          <w:rFonts w:ascii="Arial" w:hAnsi="Arial" w:cs="Arial"/>
          <w:sz w:val="22"/>
          <w:szCs w:val="22"/>
        </w:rPr>
      </w:pPr>
    </w:p>
    <w:p w14:paraId="213ACFD9" w14:textId="77777777"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VALOR ESTIMADO E VIGÊNCIA</w:t>
      </w:r>
      <w:r w:rsidRPr="00194C9B">
        <w:rPr>
          <w:rFonts w:ascii="Arial" w:hAnsi="Arial" w:cs="Arial"/>
          <w:b/>
          <w:color w:val="000000" w:themeColor="text1"/>
          <w:sz w:val="22"/>
          <w:szCs w:val="22"/>
        </w:rPr>
        <w:tab/>
      </w:r>
    </w:p>
    <w:p w14:paraId="68447532" w14:textId="77777777" w:rsidR="00194C9B" w:rsidRPr="00194C9B" w:rsidRDefault="00194C9B" w:rsidP="00194C9B">
      <w:pPr>
        <w:spacing w:line="360" w:lineRule="auto"/>
        <w:rPr>
          <w:rFonts w:ascii="Arial" w:hAnsi="Arial" w:cs="Arial"/>
          <w:b/>
          <w:bCs/>
          <w:color w:val="000000"/>
          <w:sz w:val="22"/>
          <w:szCs w:val="22"/>
        </w:rPr>
      </w:pPr>
      <w:r w:rsidRPr="00194C9B">
        <w:rPr>
          <w:rFonts w:ascii="Arial" w:hAnsi="Arial" w:cs="Arial"/>
          <w:color w:val="000000" w:themeColor="text1"/>
          <w:sz w:val="22"/>
          <w:szCs w:val="22"/>
          <w:lang w:eastAsia="ar-SA"/>
        </w:rPr>
        <w:t xml:space="preserve">5.1    O custo estimado total da presente contratação é de </w:t>
      </w:r>
      <w:r w:rsidRPr="00194C9B">
        <w:rPr>
          <w:rFonts w:ascii="Arial" w:hAnsi="Arial" w:cs="Arial"/>
          <w:b/>
          <w:color w:val="000000" w:themeColor="text1"/>
          <w:sz w:val="22"/>
          <w:szCs w:val="22"/>
          <w:lang w:eastAsia="ar-SA"/>
        </w:rPr>
        <w:t>R$ 110.592,72 (cento e dez mil quinhentos e noventa e dois reais e setenta e dois centavos).</w:t>
      </w:r>
    </w:p>
    <w:p w14:paraId="2550F64D" w14:textId="1C173A4D" w:rsidR="00194C9B" w:rsidRPr="00194C9B" w:rsidRDefault="00194C9B" w:rsidP="00194C9B">
      <w:pPr>
        <w:spacing w:line="360" w:lineRule="auto"/>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06(seis) meses.</w:t>
      </w:r>
    </w:p>
    <w:p w14:paraId="2E05BA78" w14:textId="77777777" w:rsidR="00194C9B" w:rsidRPr="00194C9B" w:rsidRDefault="00194C9B" w:rsidP="00194C9B">
      <w:pPr>
        <w:ind w:left="284" w:hanging="1004"/>
        <w:rPr>
          <w:rFonts w:ascii="Arial" w:hAnsi="Arial" w:cs="Arial"/>
          <w:color w:val="000000" w:themeColor="text1"/>
          <w:sz w:val="22"/>
          <w:szCs w:val="22"/>
          <w:lang w:eastAsia="ar-SA"/>
        </w:rPr>
      </w:pPr>
    </w:p>
    <w:p w14:paraId="2CCF66E9" w14:textId="77777777"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RECEBIMENTO E CRITÉRIO DE ACEITAÇÃO DO OBJETO</w:t>
      </w:r>
    </w:p>
    <w:p w14:paraId="76EDD0CA" w14:textId="77777777" w:rsidR="00194C9B" w:rsidRPr="00194C9B" w:rsidRDefault="00194C9B" w:rsidP="00194C9B">
      <w:pPr>
        <w:pStyle w:val="PargrafodaLista"/>
        <w:numPr>
          <w:ilvl w:val="1"/>
          <w:numId w:val="3"/>
        </w:numPr>
        <w:spacing w:line="360" w:lineRule="auto"/>
        <w:ind w:left="567" w:hanging="578"/>
        <w:rPr>
          <w:rFonts w:ascii="Arial" w:hAnsi="Arial" w:cs="Arial"/>
          <w:color w:val="000000" w:themeColor="text1"/>
          <w:sz w:val="22"/>
          <w:szCs w:val="22"/>
        </w:rPr>
      </w:pPr>
      <w:r w:rsidRPr="00194C9B">
        <w:rPr>
          <w:rFonts w:ascii="Arial" w:hAnsi="Arial" w:cs="Arial"/>
          <w:color w:val="000000" w:themeColor="text1"/>
          <w:sz w:val="22"/>
          <w:szCs w:val="22"/>
        </w:rPr>
        <w:t>Os serviços serão recebidos:</w:t>
      </w:r>
    </w:p>
    <w:p w14:paraId="1C6FC75A"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Provisoriamente, a partir da entrega, para efeito de verificação da conformidade com as especificações constantes do Edital e da proposta.</w:t>
      </w:r>
    </w:p>
    <w:p w14:paraId="073F85D1"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lastRenderedPageBreak/>
        <w:t>Definitivamente, após a verificação da conformidade com as especificações constantes do Edital e da proposta, e sua consequente aceitação, que se dará até 05 (cinco) dias úteis do recebimento provisório.</w:t>
      </w:r>
    </w:p>
    <w:p w14:paraId="2AFD464B"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17E7AE5"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A Administração rejeitará, no todo ou em parte, a entrega dos bens em desacordo com as especificações técnicas exigidas.</w:t>
      </w:r>
    </w:p>
    <w:p w14:paraId="7C3D8040"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eastAsiaTheme="minorEastAsia" w:hAnsi="Arial" w:cs="Arial"/>
          <w:sz w:val="22"/>
          <w:szCs w:val="22"/>
        </w:rPr>
        <w:t xml:space="preserve"> </w:t>
      </w:r>
      <w:r w:rsidRPr="00194C9B">
        <w:rPr>
          <w:rFonts w:ascii="Arial" w:hAnsi="Arial" w:cs="Arial"/>
          <w:color w:val="000000" w:themeColor="text1"/>
          <w:sz w:val="22"/>
          <w:szCs w:val="22"/>
        </w:rPr>
        <w:t>A prestação dos serviços por pessoa jurídica especializada para a elaboração do Projeto de Transporte Escolar, com produção dos elementos e instrumentalização das bases necessárias à parametrização das ferramentas de controle interno e externo, incluindo georreferenciamento dos itinerários e rotas, nos moldes conceituais estabelecidos pelos órgãos de controle.</w:t>
      </w:r>
    </w:p>
    <w:p w14:paraId="5E6E0804"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Ante a iminência do início efetivo do calendário escolar 2025, no âmbito do município de Janaúba/MG, os serviços de Transporte Escolar são indispensáveis, visto que, há o dever legal, de suprir as demandas da rede pública municipal de ensino.</w:t>
      </w:r>
    </w:p>
    <w:p w14:paraId="3E366987"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Para a consecução dos objetivos citados, o Município não dispõe dos recursos humanos com a necessária qualificação, tampouco em quantitativo suficiente, bem como, dos materiais necessários, para a realização dessa atividade.</w:t>
      </w:r>
    </w:p>
    <w:p w14:paraId="487B4559"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O serviço a ser contratado caracteriza necessidade desta Administração, sendo fundamental para realização das atividades instrumentais ou complementares das atividades finalísticas do Órgão. A falta dos serviços pode impactar negativamente na qualidade, na capacidade laborativa, nas condições propícias a execução das atividades, com consequente dano ao interesse público.</w:t>
      </w:r>
    </w:p>
    <w:p w14:paraId="3C2030FD" w14:textId="77777777" w:rsidR="00194C9B" w:rsidRPr="00194C9B" w:rsidRDefault="00194C9B" w:rsidP="00194C9B">
      <w:pPr>
        <w:pStyle w:val="PargrafodaLista"/>
        <w:numPr>
          <w:ilvl w:val="1"/>
          <w:numId w:val="3"/>
        </w:numPr>
        <w:spacing w:line="360" w:lineRule="auto"/>
        <w:ind w:left="567" w:hanging="567"/>
        <w:rPr>
          <w:rFonts w:ascii="Arial" w:hAnsi="Arial" w:cs="Arial"/>
          <w:color w:val="000000" w:themeColor="text1"/>
          <w:sz w:val="22"/>
          <w:szCs w:val="22"/>
        </w:rPr>
      </w:pPr>
      <w:r w:rsidRPr="00194C9B">
        <w:rPr>
          <w:rFonts w:ascii="Arial" w:hAnsi="Arial" w:cs="Arial"/>
          <w:color w:val="000000" w:themeColor="text1"/>
          <w:sz w:val="22"/>
          <w:szCs w:val="22"/>
        </w:rPr>
        <w:t>Visto que o objeto a ser contratado é composto pela prestação de serviços, e a fim de nortear os critérios de sustentabilidade que deverão ser observados, devem ser observadas as normas legais em vigência que tratam dos critérios, práticas e diretrizes para a promoção do desenvolvimento nacional sustentável, nas ações com o foco ambiental, econômico e social, visando reduzir a geração de resíduos por meio das ações devem fazer parte do cotidiano de todos, sendo um processo contínuo e com resultados a curto, médio e longo prazo.</w:t>
      </w:r>
    </w:p>
    <w:p w14:paraId="3A042297" w14:textId="77777777" w:rsidR="00194C9B" w:rsidRPr="00194C9B" w:rsidRDefault="00194C9B" w:rsidP="00194C9B">
      <w:pPr>
        <w:rPr>
          <w:rFonts w:ascii="Arial" w:hAnsi="Arial" w:cs="Arial"/>
          <w:color w:val="000000" w:themeColor="text1"/>
          <w:sz w:val="22"/>
          <w:szCs w:val="22"/>
        </w:rPr>
      </w:pPr>
    </w:p>
    <w:p w14:paraId="4BAFDC09" w14:textId="77777777"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OBRIGAÇÕES DA CONTRATADA</w:t>
      </w:r>
    </w:p>
    <w:p w14:paraId="74AC7FEA" w14:textId="77777777" w:rsidR="00194C9B" w:rsidRPr="00194C9B" w:rsidRDefault="00194C9B" w:rsidP="00194C9B">
      <w:pPr>
        <w:pStyle w:val="PargrafodaLista"/>
        <w:numPr>
          <w:ilvl w:val="1"/>
          <w:numId w:val="3"/>
        </w:numPr>
        <w:spacing w:line="360" w:lineRule="auto"/>
        <w:ind w:left="567" w:hanging="578"/>
        <w:rPr>
          <w:rFonts w:ascii="Arial" w:hAnsi="Arial" w:cs="Arial"/>
          <w:color w:val="000000" w:themeColor="text1"/>
          <w:sz w:val="22"/>
          <w:szCs w:val="22"/>
        </w:rPr>
      </w:pPr>
      <w:r w:rsidRPr="00194C9B">
        <w:rPr>
          <w:rFonts w:ascii="Arial" w:hAnsi="Arial" w:cs="Arial"/>
          <w:color w:val="000000" w:themeColor="text1"/>
          <w:sz w:val="22"/>
          <w:szCs w:val="22"/>
        </w:rPr>
        <w:t>A Contratada obriga-se a:</w:t>
      </w:r>
    </w:p>
    <w:p w14:paraId="18B426F3" w14:textId="77777777" w:rsidR="00194C9B" w:rsidRPr="00194C9B" w:rsidRDefault="00194C9B" w:rsidP="00194C9B">
      <w:pPr>
        <w:pStyle w:val="PargrafodaLista"/>
        <w:numPr>
          <w:ilvl w:val="2"/>
          <w:numId w:val="3"/>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lastRenderedPageBreak/>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2470454" w14:textId="77777777" w:rsidR="00194C9B" w:rsidRPr="00194C9B" w:rsidRDefault="00194C9B" w:rsidP="00194C9B">
      <w:pPr>
        <w:numPr>
          <w:ilvl w:val="2"/>
          <w:numId w:val="3"/>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097DF25F" w14:textId="77777777" w:rsidR="00194C9B" w:rsidRPr="00194C9B" w:rsidRDefault="00194C9B" w:rsidP="00194C9B">
      <w:pPr>
        <w:numPr>
          <w:ilvl w:val="2"/>
          <w:numId w:val="3"/>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Atender prontamente a quaisquer exigências da Administração, inerentes ao objeto da presente licitação;</w:t>
      </w:r>
    </w:p>
    <w:p w14:paraId="3FC7D08C" w14:textId="77777777" w:rsidR="00194C9B" w:rsidRPr="00194C9B" w:rsidRDefault="00194C9B" w:rsidP="00194C9B">
      <w:pPr>
        <w:numPr>
          <w:ilvl w:val="2"/>
          <w:numId w:val="3"/>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6F9860E0"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r w:rsidRPr="00194C9B">
        <w:rPr>
          <w:rFonts w:ascii="Arial" w:hAnsi="Arial" w:cs="Arial"/>
          <w:sz w:val="22"/>
          <w:szCs w:val="22"/>
        </w:rPr>
        <w:t xml:space="preserve"> </w:t>
      </w:r>
    </w:p>
    <w:p w14:paraId="43C95F4B"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A CONTRATADA será responsável pela observância de toda legislação pertinente direta ou indiretamente aplicável a execução do objeto.</w:t>
      </w:r>
    </w:p>
    <w:p w14:paraId="1F59AC12"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A CONTRATADA será a única responsável por danos e prejuízos, de qualquer natureza, causados a CONTRATANTE ou a terceiros, decorrentes da execução do objeto deste Termo de Referência, isentando a CONTRATANTE de todas as reclamações que porventura possam surgir, ainda que tais reclamações sejam resultantes de atos dos seus prepostos ou de quaisquer pessoas físicas ou jurídicas, empregadas ou ajustadas na execução do objeto;</w:t>
      </w:r>
    </w:p>
    <w:p w14:paraId="4E2AF0A0"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Fica expressamente estipulado que não se estabelece por força do fornecimento do objeto deste Termo de Referência qualquer relação de emprego entre a CONTRATANTE e os empregados da CONTRATADA;</w:t>
      </w:r>
    </w:p>
    <w:p w14:paraId="605E0BE8"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A CONTRATADA se responsabiliza por todas as despesas decorrentes do objeto deste Termo de Referência, tais como salários, encargos sociais, previdenciários, trabalhistas, comerciais, seguros de acidentes, tributos, indenizações, vale-transporte, vale refeição e outros benefícios exigidos, e ou firmados em convenções ou acordos coletivos, legalmente firmados e registrados no MTE.</w:t>
      </w:r>
    </w:p>
    <w:p w14:paraId="12FB9EB2"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 xml:space="preserve">A inadimplência da CONTRATADA para com encargos, não transfere a CONTRATANTE à responsabilidade por seu pagamento, nem poderá onerar o objeto do contrato; </w:t>
      </w:r>
    </w:p>
    <w:p w14:paraId="5A03DD37"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lastRenderedPageBreak/>
        <w:t>A CONTRATADA deverá adotar todas as medidas para cumprimento das normas e procedimentos de controle e acesso às dependências da CONTRATANTE;</w:t>
      </w:r>
    </w:p>
    <w:p w14:paraId="614A7CEA"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 xml:space="preserve">Manter os seus empregados identificados por crachá, quando no recinto da CONTRATANTE, devendo substituir imediatamente qualquer um deles que seja considerado inconveniente à boa ordem e às normas disciplinares da CONTRATANTE; </w:t>
      </w:r>
    </w:p>
    <w:p w14:paraId="01A71978"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 xml:space="preserve">Acatar todas as orientações da CONTRATANTE, emanadas pelo fiscal do contrato, sujeitando-se à ampla e irrestrita fiscalização, prestando todos os esclarecimentos solicitados e atendendo às reclamações formuladas; </w:t>
      </w:r>
    </w:p>
    <w:p w14:paraId="0288B8C2" w14:textId="77777777" w:rsidR="00194C9B" w:rsidRP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 xml:space="preserve">Manter, durante o fornecimento do objeto deste Termo de Referência, em compatibilidade com as obrigações a serem assumidas, todas as condições de habilitação e qualificação exigidas na licitação; </w:t>
      </w:r>
    </w:p>
    <w:p w14:paraId="5224ABBD" w14:textId="77777777" w:rsidR="00194C9B" w:rsidRDefault="00194C9B" w:rsidP="00194C9B">
      <w:pPr>
        <w:numPr>
          <w:ilvl w:val="2"/>
          <w:numId w:val="3"/>
        </w:numPr>
        <w:spacing w:line="360" w:lineRule="auto"/>
        <w:ind w:left="851"/>
        <w:rPr>
          <w:rFonts w:ascii="Arial" w:hAnsi="Arial" w:cs="Arial"/>
          <w:sz w:val="22"/>
          <w:szCs w:val="22"/>
        </w:rPr>
      </w:pPr>
      <w:r w:rsidRPr="00194C9B">
        <w:rPr>
          <w:rFonts w:ascii="Arial" w:hAnsi="Arial" w:cs="Arial"/>
          <w:sz w:val="22"/>
          <w:szCs w:val="22"/>
        </w:rPr>
        <w:t>Serão de inteira e total responsabilidade da CONTRATADA todas as despesas decorrentes da execução do objeto, inclusive salários dos seus empregados, taxas, impostos, custos administrativos, encargos sociais e outros necessários, como também o ônus de indenizar todo e qualquer prejuízo pessoal ou material que possa advir direta ou indiretamente à municipalidade ou a terceiros, no exercício de sua atividade.</w:t>
      </w:r>
    </w:p>
    <w:p w14:paraId="57D235F7" w14:textId="77777777" w:rsidR="00194C9B" w:rsidRPr="00194C9B" w:rsidRDefault="00194C9B" w:rsidP="00194C9B">
      <w:pPr>
        <w:spacing w:line="360" w:lineRule="auto"/>
        <w:ind w:left="851"/>
        <w:rPr>
          <w:rFonts w:ascii="Arial" w:hAnsi="Arial" w:cs="Arial"/>
          <w:sz w:val="22"/>
          <w:szCs w:val="22"/>
        </w:rPr>
      </w:pPr>
    </w:p>
    <w:p w14:paraId="63DD5F04" w14:textId="77777777" w:rsidR="00194C9B" w:rsidRPr="00194C9B" w:rsidRDefault="00194C9B" w:rsidP="00194C9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OBRIGAÇÕES DA CONTRATANTE</w:t>
      </w:r>
    </w:p>
    <w:p w14:paraId="3E92F684"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27080C88"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7AD58A6E"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6D2C93AC"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622A151C"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0378B51B"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48C88FCB"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5141476C"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505DCA8F" w14:textId="77777777" w:rsidR="00194C9B" w:rsidRPr="00194C9B" w:rsidRDefault="00194C9B" w:rsidP="00194C9B">
      <w:pPr>
        <w:pStyle w:val="PargrafodaLista"/>
        <w:numPr>
          <w:ilvl w:val="0"/>
          <w:numId w:val="6"/>
        </w:numPr>
        <w:rPr>
          <w:rFonts w:ascii="Arial" w:hAnsi="Arial" w:cs="Arial"/>
          <w:vanish/>
          <w:color w:val="000000" w:themeColor="text1"/>
          <w:sz w:val="22"/>
          <w:szCs w:val="22"/>
          <w:lang w:eastAsia="ar-SA"/>
        </w:rPr>
      </w:pPr>
    </w:p>
    <w:p w14:paraId="19508EAE" w14:textId="77777777" w:rsidR="00194C9B" w:rsidRPr="00194C9B" w:rsidRDefault="00194C9B" w:rsidP="00194C9B">
      <w:pPr>
        <w:pStyle w:val="PargrafodaLista"/>
        <w:numPr>
          <w:ilvl w:val="1"/>
          <w:numId w:val="3"/>
        </w:numPr>
        <w:spacing w:line="360" w:lineRule="auto"/>
        <w:ind w:left="567" w:hanging="578"/>
        <w:rPr>
          <w:rFonts w:ascii="Arial" w:hAnsi="Arial" w:cs="Arial"/>
          <w:color w:val="000000" w:themeColor="text1"/>
          <w:sz w:val="22"/>
          <w:szCs w:val="22"/>
        </w:rPr>
      </w:pPr>
      <w:r w:rsidRPr="00194C9B">
        <w:rPr>
          <w:rFonts w:ascii="Arial" w:hAnsi="Arial" w:cs="Arial"/>
          <w:color w:val="000000" w:themeColor="text1"/>
          <w:sz w:val="22"/>
          <w:szCs w:val="22"/>
          <w:lang w:eastAsia="ar-SA"/>
        </w:rPr>
        <w:t>A Contratante obriga-se a:</w:t>
      </w:r>
    </w:p>
    <w:p w14:paraId="427E6E38" w14:textId="77777777" w:rsidR="00194C9B" w:rsidRPr="00194C9B" w:rsidRDefault="00194C9B" w:rsidP="00194C9B">
      <w:pPr>
        <w:pStyle w:val="PargrafodaLista"/>
        <w:numPr>
          <w:ilvl w:val="0"/>
          <w:numId w:val="3"/>
        </w:numPr>
        <w:spacing w:line="360" w:lineRule="auto"/>
        <w:contextualSpacing w:val="0"/>
        <w:rPr>
          <w:rFonts w:ascii="Arial" w:hAnsi="Arial" w:cs="Arial"/>
          <w:vanish/>
          <w:color w:val="000000" w:themeColor="text1"/>
          <w:sz w:val="22"/>
          <w:szCs w:val="22"/>
        </w:rPr>
      </w:pPr>
    </w:p>
    <w:p w14:paraId="07573F5A" w14:textId="77777777" w:rsidR="00194C9B" w:rsidRPr="00194C9B" w:rsidRDefault="00194C9B" w:rsidP="00194C9B">
      <w:pPr>
        <w:pStyle w:val="PargrafodaLista"/>
        <w:numPr>
          <w:ilvl w:val="1"/>
          <w:numId w:val="3"/>
        </w:numPr>
        <w:spacing w:line="360" w:lineRule="auto"/>
        <w:contextualSpacing w:val="0"/>
        <w:rPr>
          <w:rFonts w:ascii="Arial" w:hAnsi="Arial" w:cs="Arial"/>
          <w:vanish/>
          <w:color w:val="000000" w:themeColor="text1"/>
          <w:sz w:val="22"/>
          <w:szCs w:val="22"/>
        </w:rPr>
      </w:pPr>
    </w:p>
    <w:p w14:paraId="39260D7A" w14:textId="77777777" w:rsidR="00194C9B" w:rsidRPr="00194C9B" w:rsidRDefault="00194C9B" w:rsidP="00194C9B">
      <w:pPr>
        <w:pStyle w:val="PargrafodaLista"/>
        <w:numPr>
          <w:ilvl w:val="2"/>
          <w:numId w:val="8"/>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Receber provisoriamente o material, disponibilizando local, data e horário;</w:t>
      </w:r>
    </w:p>
    <w:p w14:paraId="03DFDA7D" w14:textId="77777777" w:rsidR="00194C9B" w:rsidRPr="00194C9B" w:rsidRDefault="00194C9B" w:rsidP="00194C9B">
      <w:pPr>
        <w:numPr>
          <w:ilvl w:val="2"/>
          <w:numId w:val="8"/>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3DCDA6BB" w14:textId="77777777" w:rsidR="00194C9B" w:rsidRPr="00194C9B" w:rsidRDefault="00194C9B" w:rsidP="00194C9B">
      <w:pPr>
        <w:numPr>
          <w:ilvl w:val="2"/>
          <w:numId w:val="8"/>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Acompanhar e fiscalizar o cumprimento das obrigações da Contratada, através de servidor especialmente designado;</w:t>
      </w:r>
    </w:p>
    <w:p w14:paraId="15822C0D" w14:textId="77777777" w:rsidR="00194C9B" w:rsidRPr="00194C9B" w:rsidRDefault="00194C9B" w:rsidP="00194C9B">
      <w:pPr>
        <w:numPr>
          <w:ilvl w:val="2"/>
          <w:numId w:val="8"/>
        </w:numPr>
        <w:spacing w:line="360" w:lineRule="auto"/>
        <w:ind w:left="851"/>
        <w:rPr>
          <w:rFonts w:ascii="Arial" w:hAnsi="Arial" w:cs="Arial"/>
          <w:color w:val="000000" w:themeColor="text1"/>
          <w:sz w:val="22"/>
          <w:szCs w:val="22"/>
        </w:rPr>
      </w:pPr>
      <w:r w:rsidRPr="00194C9B">
        <w:rPr>
          <w:rFonts w:ascii="Arial" w:hAnsi="Arial" w:cs="Arial"/>
          <w:color w:val="000000" w:themeColor="text1"/>
          <w:sz w:val="22"/>
          <w:szCs w:val="22"/>
        </w:rPr>
        <w:t>Efetuar o pagamento no prazo previsto.</w:t>
      </w:r>
    </w:p>
    <w:p w14:paraId="3DE0B994" w14:textId="77777777" w:rsidR="00194C9B" w:rsidRPr="00194C9B" w:rsidRDefault="00194C9B" w:rsidP="00194C9B">
      <w:pPr>
        <w:ind w:left="284"/>
        <w:rPr>
          <w:rFonts w:ascii="Arial" w:hAnsi="Arial" w:cs="Arial"/>
          <w:color w:val="000000" w:themeColor="text1"/>
          <w:sz w:val="22"/>
          <w:szCs w:val="22"/>
        </w:rPr>
      </w:pPr>
    </w:p>
    <w:p w14:paraId="713C27D9" w14:textId="77777777" w:rsidR="00194C9B" w:rsidRPr="00194C9B" w:rsidRDefault="00194C9B" w:rsidP="00194C9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MEDIDAS ACAUTELADORAS E GARANTIA</w:t>
      </w:r>
    </w:p>
    <w:p w14:paraId="2352FDF0" w14:textId="77777777" w:rsidR="00194C9B" w:rsidRPr="00194C9B" w:rsidRDefault="00194C9B" w:rsidP="00194C9B">
      <w:pPr>
        <w:pStyle w:val="PargrafodaLista"/>
        <w:numPr>
          <w:ilvl w:val="1"/>
          <w:numId w:val="8"/>
        </w:numPr>
        <w:spacing w:after="200" w:line="360" w:lineRule="auto"/>
        <w:ind w:left="426"/>
        <w:rPr>
          <w:rFonts w:ascii="Arial" w:hAnsi="Arial" w:cs="Arial"/>
          <w:color w:val="000000" w:themeColor="text1"/>
          <w:sz w:val="22"/>
          <w:szCs w:val="22"/>
        </w:rPr>
      </w:pPr>
      <w:r w:rsidRPr="00194C9B">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94C9B">
          <w:rPr>
            <w:rFonts w:ascii="Arial" w:hAnsi="Arial" w:cs="Arial"/>
            <w:color w:val="000000" w:themeColor="text1"/>
            <w:sz w:val="22"/>
            <w:szCs w:val="22"/>
            <w:lang w:eastAsia="ar-SA"/>
          </w:rPr>
          <w:t>1999, a</w:t>
        </w:r>
      </w:smartTag>
      <w:r w:rsidRPr="00194C9B">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1E49A55" w14:textId="77777777" w:rsidR="00194C9B" w:rsidRPr="00194C9B" w:rsidRDefault="00194C9B" w:rsidP="00194C9B">
      <w:pPr>
        <w:pStyle w:val="PargrafodaLista"/>
        <w:rPr>
          <w:rFonts w:ascii="Arial" w:hAnsi="Arial" w:cs="Arial"/>
          <w:color w:val="000000" w:themeColor="text1"/>
          <w:sz w:val="22"/>
          <w:szCs w:val="22"/>
        </w:rPr>
      </w:pPr>
    </w:p>
    <w:p w14:paraId="7A0186EB" w14:textId="77777777" w:rsidR="00194C9B" w:rsidRPr="00194C9B" w:rsidRDefault="00194C9B" w:rsidP="00194C9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lastRenderedPageBreak/>
        <w:t>CONTROLE DA EXECUÇÃO</w:t>
      </w:r>
    </w:p>
    <w:p w14:paraId="05A6D01F" w14:textId="77777777" w:rsidR="00194C9B" w:rsidRPr="00194C9B" w:rsidRDefault="00194C9B" w:rsidP="00194C9B">
      <w:pPr>
        <w:pStyle w:val="PargrafodaLista"/>
        <w:numPr>
          <w:ilvl w:val="0"/>
          <w:numId w:val="8"/>
        </w:numPr>
        <w:spacing w:after="200" w:line="360" w:lineRule="auto"/>
        <w:rPr>
          <w:rFonts w:ascii="Arial" w:hAnsi="Arial" w:cs="Arial"/>
          <w:vanish/>
          <w:color w:val="000000" w:themeColor="text1"/>
          <w:sz w:val="22"/>
          <w:szCs w:val="22"/>
          <w:lang w:eastAsia="ar-SA"/>
        </w:rPr>
      </w:pPr>
    </w:p>
    <w:p w14:paraId="6B8AE211" w14:textId="77777777" w:rsidR="00194C9B" w:rsidRPr="00194C9B" w:rsidRDefault="00194C9B" w:rsidP="00194C9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 xml:space="preserve">A fiscalização da contratação será exercida por um representante da Administração Municipal, a Sra. </w:t>
      </w:r>
      <w:proofErr w:type="spellStart"/>
      <w:r w:rsidRPr="00194C9B">
        <w:rPr>
          <w:rFonts w:ascii="Arial" w:hAnsi="Arial" w:cs="Arial"/>
          <w:color w:val="000000" w:themeColor="text1"/>
          <w:sz w:val="22"/>
          <w:szCs w:val="22"/>
          <w:lang w:eastAsia="ar-SA"/>
        </w:rPr>
        <w:t>Francisléia</w:t>
      </w:r>
      <w:proofErr w:type="spellEnd"/>
      <w:r w:rsidRPr="00194C9B">
        <w:rPr>
          <w:rFonts w:ascii="Arial" w:hAnsi="Arial" w:cs="Arial"/>
          <w:color w:val="000000" w:themeColor="text1"/>
          <w:sz w:val="22"/>
          <w:szCs w:val="22"/>
          <w:lang w:eastAsia="ar-SA"/>
        </w:rPr>
        <w:t xml:space="preserve"> Maria da Silva inscrita no CPF 062.206.786-99   ao qual competirá dirimir as dúvidas que surgirem no curso da execução do contrato, e de tudo dará ciência à Administração. </w:t>
      </w:r>
    </w:p>
    <w:p w14:paraId="4A0F97D7" w14:textId="77777777" w:rsidR="00194C9B" w:rsidRPr="00194C9B" w:rsidRDefault="00194C9B" w:rsidP="00194C9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3410213" w14:textId="77777777" w:rsidR="00194C9B" w:rsidRDefault="00194C9B" w:rsidP="00194C9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801542C" w14:textId="77777777" w:rsidR="00194C9B" w:rsidRPr="00194C9B" w:rsidRDefault="00194C9B" w:rsidP="00194C9B">
      <w:pPr>
        <w:pStyle w:val="PargrafodaLista"/>
        <w:spacing w:after="200" w:line="360" w:lineRule="auto"/>
        <w:ind w:left="567"/>
        <w:rPr>
          <w:rFonts w:ascii="Arial" w:hAnsi="Arial" w:cs="Arial"/>
          <w:color w:val="000000" w:themeColor="text1"/>
          <w:sz w:val="22"/>
          <w:szCs w:val="22"/>
          <w:lang w:eastAsia="ar-SA"/>
        </w:rPr>
      </w:pPr>
    </w:p>
    <w:p w14:paraId="7FF96D1D" w14:textId="77777777" w:rsidR="00194C9B" w:rsidRPr="00194C9B" w:rsidRDefault="00194C9B" w:rsidP="00194C9B">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DAS INFRAÇÕES E DAS SANÇÕES ADMINISTRATIVAS</w:t>
      </w:r>
    </w:p>
    <w:p w14:paraId="1EDBE60D"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75154594"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4C1B3C32"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4BE126B3"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17968762"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04D472BA"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6541FEEB"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2FDD63CD"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5B4A6E90"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518061E7"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4538C1B8"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2D6C91C7" w14:textId="77777777" w:rsidR="00194C9B" w:rsidRPr="00194C9B" w:rsidRDefault="00194C9B" w:rsidP="00194C9B">
      <w:pPr>
        <w:pStyle w:val="PargrafodaLista"/>
        <w:numPr>
          <w:ilvl w:val="0"/>
          <w:numId w:val="4"/>
        </w:numPr>
        <w:spacing w:line="276" w:lineRule="auto"/>
        <w:rPr>
          <w:rFonts w:ascii="Arial" w:hAnsi="Arial" w:cs="Arial"/>
          <w:vanish/>
          <w:color w:val="000000" w:themeColor="text1"/>
          <w:sz w:val="22"/>
          <w:szCs w:val="22"/>
          <w:lang w:eastAsia="ar-SA"/>
        </w:rPr>
      </w:pPr>
    </w:p>
    <w:p w14:paraId="4BF88678" w14:textId="77777777" w:rsidR="00194C9B" w:rsidRPr="00194C9B" w:rsidRDefault="00194C9B" w:rsidP="00194C9B">
      <w:pPr>
        <w:pStyle w:val="PargrafodaLista"/>
        <w:numPr>
          <w:ilvl w:val="0"/>
          <w:numId w:val="9"/>
        </w:numPr>
        <w:spacing w:after="200" w:line="276" w:lineRule="auto"/>
        <w:rPr>
          <w:rFonts w:ascii="Arial" w:hAnsi="Arial" w:cs="Arial"/>
          <w:vanish/>
          <w:color w:val="000000" w:themeColor="text1"/>
          <w:sz w:val="22"/>
          <w:szCs w:val="22"/>
          <w:lang w:eastAsia="ar-SA"/>
        </w:rPr>
      </w:pPr>
    </w:p>
    <w:p w14:paraId="184B79EB" w14:textId="77777777" w:rsidR="00194C9B" w:rsidRPr="00194C9B" w:rsidRDefault="00194C9B" w:rsidP="00194C9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 xml:space="preserve">As sanções administrativas serão impostas fundamentadamente nos termos da Lei nº14.133/2021. </w:t>
      </w:r>
    </w:p>
    <w:p w14:paraId="2290FB6C" w14:textId="77777777" w:rsidR="00194C9B" w:rsidRPr="00194C9B" w:rsidRDefault="00194C9B" w:rsidP="00194C9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2F0A29EA" w14:textId="77777777" w:rsidR="00194C9B" w:rsidRDefault="00194C9B" w:rsidP="00194C9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669BE24A" w14:textId="77777777" w:rsidR="00194C9B" w:rsidRPr="00194C9B" w:rsidRDefault="00194C9B" w:rsidP="00194C9B">
      <w:pPr>
        <w:pStyle w:val="PargrafodaLista"/>
        <w:spacing w:after="200" w:line="360" w:lineRule="auto"/>
        <w:ind w:left="567"/>
        <w:rPr>
          <w:rFonts w:ascii="Arial" w:hAnsi="Arial" w:cs="Arial"/>
          <w:color w:val="000000" w:themeColor="text1"/>
          <w:sz w:val="22"/>
          <w:szCs w:val="22"/>
          <w:lang w:eastAsia="ar-SA"/>
        </w:rPr>
      </w:pPr>
    </w:p>
    <w:p w14:paraId="33F6BB05" w14:textId="77777777" w:rsidR="00194C9B" w:rsidRPr="00194C9B" w:rsidRDefault="00194C9B" w:rsidP="00194C9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94C9B">
        <w:rPr>
          <w:rFonts w:ascii="Arial" w:hAnsi="Arial" w:cs="Arial"/>
          <w:b/>
          <w:color w:val="000000" w:themeColor="text1"/>
          <w:sz w:val="22"/>
          <w:szCs w:val="22"/>
        </w:rPr>
        <w:t>DA DOTAÇÃO ORCAMENTÁRIA</w:t>
      </w:r>
    </w:p>
    <w:p w14:paraId="1B716D76"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6980F5A5"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135CBA79"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676A6D46"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78EF14E8"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0701F980"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71CD68A8"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7034E7F8"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38B40783"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6D90EE26"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6C0D2588"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4F65CAD1"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0F2289DF" w14:textId="77777777" w:rsidR="00194C9B" w:rsidRPr="00194C9B" w:rsidRDefault="00194C9B" w:rsidP="00194C9B">
      <w:pPr>
        <w:pStyle w:val="PargrafodaLista"/>
        <w:numPr>
          <w:ilvl w:val="0"/>
          <w:numId w:val="5"/>
        </w:numPr>
        <w:spacing w:after="200" w:line="276" w:lineRule="auto"/>
        <w:rPr>
          <w:rFonts w:ascii="Arial" w:hAnsi="Arial" w:cs="Arial"/>
          <w:vanish/>
          <w:color w:val="000000" w:themeColor="text1"/>
          <w:sz w:val="22"/>
          <w:szCs w:val="22"/>
          <w:lang w:eastAsia="ar-SA"/>
        </w:rPr>
      </w:pPr>
    </w:p>
    <w:p w14:paraId="6D8E0D73" w14:textId="77777777" w:rsidR="00194C9B" w:rsidRPr="00194C9B" w:rsidRDefault="00194C9B" w:rsidP="00194C9B">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194C9B">
        <w:rPr>
          <w:rFonts w:ascii="Arial" w:hAnsi="Arial" w:cs="Arial"/>
          <w:color w:val="000000" w:themeColor="text1"/>
          <w:sz w:val="22"/>
          <w:szCs w:val="22"/>
          <w:lang w:eastAsia="ar-SA"/>
        </w:rPr>
        <w:t xml:space="preserve">As despesas dessa contratação serão suportadas pelas seguintes dotações orçamentárias: </w:t>
      </w:r>
    </w:p>
    <w:p w14:paraId="7DA6D5E2" w14:textId="77777777" w:rsidR="00194C9B" w:rsidRPr="00194C9B" w:rsidRDefault="00194C9B" w:rsidP="00194C9B">
      <w:pPr>
        <w:spacing w:line="360" w:lineRule="auto"/>
        <w:rPr>
          <w:rFonts w:ascii="Arial" w:hAnsi="Arial" w:cs="Arial"/>
          <w:b/>
          <w:sz w:val="22"/>
          <w:szCs w:val="22"/>
        </w:rPr>
      </w:pPr>
      <w:r w:rsidRPr="00194C9B">
        <w:rPr>
          <w:rFonts w:ascii="Arial" w:hAnsi="Arial" w:cs="Arial"/>
          <w:b/>
          <w:sz w:val="22"/>
          <w:szCs w:val="22"/>
        </w:rPr>
        <w:t>SECRETARIA DE EDUCAÇÃO</w:t>
      </w:r>
    </w:p>
    <w:p w14:paraId="04682888" w14:textId="77777777" w:rsidR="00194C9B" w:rsidRPr="00194C9B" w:rsidRDefault="00194C9B" w:rsidP="00194C9B">
      <w:pPr>
        <w:spacing w:line="360" w:lineRule="auto"/>
        <w:rPr>
          <w:rFonts w:ascii="Arial" w:hAnsi="Arial" w:cs="Arial"/>
          <w:color w:val="000000"/>
          <w:sz w:val="22"/>
          <w:szCs w:val="22"/>
        </w:rPr>
      </w:pPr>
      <w:r w:rsidRPr="00194C9B">
        <w:rPr>
          <w:rFonts w:ascii="Arial" w:hAnsi="Arial" w:cs="Arial"/>
          <w:color w:val="000000"/>
          <w:sz w:val="22"/>
          <w:szCs w:val="22"/>
        </w:rPr>
        <w:t xml:space="preserve"> 08.01.1.12.361.0016.2089.3.3.90.39.00 503 1500001001</w:t>
      </w:r>
    </w:p>
    <w:p w14:paraId="40F5D91B" w14:textId="77777777" w:rsidR="00194C9B" w:rsidRDefault="00194C9B" w:rsidP="00BD4B31">
      <w:pPr>
        <w:rPr>
          <w:sz w:val="24"/>
          <w:szCs w:val="24"/>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075170E"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63601D">
        <w:rPr>
          <w:rFonts w:ascii="Arial" w:eastAsia="Arial" w:hAnsi="Arial" w:cs="Arial"/>
          <w:b/>
          <w:bCs/>
          <w:sz w:val="22"/>
          <w:szCs w:val="22"/>
        </w:rPr>
        <w:t>14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63601D">
        <w:rPr>
          <w:rFonts w:ascii="Arial" w:eastAsia="Arial" w:hAnsi="Arial" w:cs="Arial"/>
          <w:b/>
          <w:bCs/>
          <w:sz w:val="22"/>
          <w:szCs w:val="22"/>
        </w:rPr>
        <w:t>105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8FA5779" w:rsidR="00C1199C" w:rsidRPr="00C1199C" w:rsidRDefault="0063601D"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8D1DA2">
        <w:rPr>
          <w:rFonts w:ascii="Arial" w:hAnsi="Arial" w:cs="Arial"/>
          <w:bCs/>
          <w:color w:val="000000"/>
          <w:sz w:val="22"/>
          <w:szCs w:val="22"/>
        </w:rPr>
        <w:t>Contratação de empresa especializada para Elaboração do projeto de Transporte Escolar com produção dos elementos e instrumentalização das bases necessárias à parametrização das ferramentas de controlei interno e externo, incluindo georreferenciamento dos itinerários e rotas, nos moldes conceituais estabelecidos pelos órgãos de controle</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7A07C4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63601D">
        <w:rPr>
          <w:rFonts w:ascii="Arial" w:eastAsia="Arial" w:hAnsi="Arial" w:cs="Arial"/>
          <w:b/>
          <w:bCs/>
          <w:sz w:val="22"/>
          <w:szCs w:val="22"/>
        </w:rPr>
        <w:t>14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63601D">
        <w:rPr>
          <w:rFonts w:ascii="Arial" w:eastAsia="Arial" w:hAnsi="Arial" w:cs="Arial"/>
          <w:b/>
          <w:bCs/>
          <w:sz w:val="22"/>
          <w:szCs w:val="22"/>
        </w:rPr>
        <w:t>105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1E300E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63601D">
        <w:rPr>
          <w:rFonts w:ascii="Arial" w:eastAsia="Arial" w:hAnsi="Arial" w:cs="Arial"/>
          <w:b/>
          <w:bCs/>
          <w:sz w:val="22"/>
          <w:szCs w:val="22"/>
        </w:rPr>
        <w:t>105</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w:t>
      </w:r>
      <w:r w:rsidR="0063601D">
        <w:rPr>
          <w:rFonts w:ascii="Arial" w:eastAsia="Arial" w:hAnsi="Arial" w:cs="Arial"/>
          <w:b/>
          <w:bCs/>
          <w:sz w:val="22"/>
          <w:szCs w:val="22"/>
        </w:rPr>
        <w:t>14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23"/>
          <w:footerReference w:type="default" r:id="rId24"/>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5"/>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2C066DA8"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63601D">
        <w:rPr>
          <w:rFonts w:ascii="Arial" w:hAnsi="Arial" w:cs="Arial"/>
          <w:b/>
          <w:sz w:val="22"/>
          <w:szCs w:val="22"/>
        </w:rPr>
        <w:t>105</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6"/>
          <w:footerReference w:type="default" r:id="rId27"/>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8"/>
      <w:footerReference w:type="default" r:id="rId29"/>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B4BC" w14:textId="77777777" w:rsidR="00561B83" w:rsidRDefault="00561B83" w:rsidP="001F39C2">
      <w:r>
        <w:separator/>
      </w:r>
    </w:p>
  </w:endnote>
  <w:endnote w:type="continuationSeparator" w:id="0">
    <w:p w14:paraId="7D3565C8" w14:textId="77777777" w:rsidR="00561B83" w:rsidRDefault="00561B8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1AC6" w14:textId="77777777" w:rsidR="00561B83" w:rsidRDefault="00561B83" w:rsidP="001F39C2">
      <w:r>
        <w:separator/>
      </w:r>
    </w:p>
  </w:footnote>
  <w:footnote w:type="continuationSeparator" w:id="0">
    <w:p w14:paraId="4D9D6A4B" w14:textId="77777777" w:rsidR="00561B83" w:rsidRDefault="00561B8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2355"/>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94C9B"/>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05B57"/>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86F3D"/>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23D2"/>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1B8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3601D"/>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1DA2"/>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03"/>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4988"/>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194C9B"/>
    <w:pPr>
      <w:spacing w:after="160" w:line="259" w:lineRule="auto"/>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Marcador">
    <w:name w:val="Texto_Marcador"/>
    <w:basedOn w:val="Normal"/>
    <w:autoRedefine/>
    <w:qFormat/>
    <w:rsid w:val="00194C9B"/>
    <w:pPr>
      <w:tabs>
        <w:tab w:val="left" w:pos="709"/>
        <w:tab w:val="left" w:pos="851"/>
        <w:tab w:val="left" w:pos="993"/>
      </w:tabs>
      <w:spacing w:before="120" w:after="120"/>
      <w:ind w:left="284"/>
      <w:outlineLvl w:val="0"/>
    </w:pPr>
    <w:rPr>
      <w:rFonts w:eastAsiaTheme="minorEastAsia"/>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s://www.gov.br/empresas-e-negocios/pt-br/empreendedo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116-de-21-de-dezembro-de-2021"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s://www.planalto.gov.br/ccivil_03/leis/l5764.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hyperlink" Target="https://www.gov.br/economia/pt-br/assuntos/drei/legislacao/arquivos/legislacoes-federais/indrei7720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15993</Words>
  <Characters>86363</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2025-01-03T18:47:00Z</cp:lastPrinted>
  <dcterms:created xsi:type="dcterms:W3CDTF">2025-01-03T18:41:00Z</dcterms:created>
  <dcterms:modified xsi:type="dcterms:W3CDTF">2025-01-03T18:47:00Z</dcterms:modified>
</cp:coreProperties>
</file>