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AB3E2E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654BA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632151E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F969239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340C95">
        <w:rPr>
          <w:rFonts w:ascii="Arial" w:hAnsi="Arial" w:cs="Arial"/>
          <w:sz w:val="22"/>
          <w:szCs w:val="22"/>
        </w:rPr>
        <w:t>1</w:t>
      </w:r>
      <w:r w:rsidR="007654BA">
        <w:rPr>
          <w:rFonts w:ascii="Arial" w:hAnsi="Arial" w:cs="Arial"/>
          <w:sz w:val="22"/>
          <w:szCs w:val="22"/>
        </w:rPr>
        <w:t>5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654BA">
        <w:rPr>
          <w:rFonts w:ascii="Arial" w:hAnsi="Arial" w:cs="Arial"/>
          <w:sz w:val="22"/>
          <w:szCs w:val="22"/>
        </w:rPr>
        <w:t>26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76117F">
        <w:rPr>
          <w:rFonts w:ascii="Arial" w:hAnsi="Arial" w:cs="Arial"/>
          <w:bCs/>
          <w:color w:val="000000"/>
          <w:sz w:val="22"/>
          <w:szCs w:val="22"/>
        </w:rPr>
        <w:t>aquisição de dietas enterais e complementos nutricionais a fim de atender as demandas judiciais e os pacientes da comissão permanente de farmacoterapêutica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76117F">
        <w:rPr>
          <w:rFonts w:ascii="Arial" w:hAnsi="Arial" w:cs="Arial"/>
          <w:sz w:val="22"/>
          <w:szCs w:val="22"/>
        </w:rPr>
        <w:t>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643E0E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E53" w14:textId="77777777" w:rsidR="00643E0E" w:rsidRDefault="00643E0E">
      <w:r>
        <w:separator/>
      </w:r>
    </w:p>
  </w:endnote>
  <w:endnote w:type="continuationSeparator" w:id="0">
    <w:p w14:paraId="2E20A7A0" w14:textId="77777777" w:rsidR="00643E0E" w:rsidRDefault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DB4B" w14:textId="77777777" w:rsidR="00643E0E" w:rsidRDefault="00643E0E">
      <w:r>
        <w:separator/>
      </w:r>
    </w:p>
  </w:footnote>
  <w:footnote w:type="continuationSeparator" w:id="0">
    <w:p w14:paraId="2550F484" w14:textId="77777777" w:rsidR="00643E0E" w:rsidRDefault="006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2024-03-04T17:41:00Z</dcterms:created>
  <dcterms:modified xsi:type="dcterms:W3CDTF">2024-03-04T17:41:00Z</dcterms:modified>
</cp:coreProperties>
</file>